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E0094B" w14:textId="1F849F18" w:rsidR="008E1951" w:rsidRDefault="008E1951" w:rsidP="003B5B02">
      <w:pPr>
        <w:pStyle w:val="TituloPortadas"/>
        <w:spacing w:line="276" w:lineRule="auto"/>
      </w:pPr>
      <w:r w:rsidRPr="002110B3">
        <w:rPr>
          <w:b w:val="0"/>
          <w:noProof/>
        </w:rPr>
        <w:drawing>
          <wp:inline distT="0" distB="0" distL="0" distR="0" wp14:anchorId="3DD817A9" wp14:editId="26109439">
            <wp:extent cx="2352675" cy="13601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52675" cy="1360170"/>
                    </a:xfrm>
                    <a:prstGeom prst="rect">
                      <a:avLst/>
                    </a:prstGeom>
                    <a:noFill/>
                    <a:ln>
                      <a:noFill/>
                    </a:ln>
                  </pic:spPr>
                </pic:pic>
              </a:graphicData>
            </a:graphic>
          </wp:inline>
        </w:drawing>
      </w:r>
    </w:p>
    <w:p w14:paraId="4786F57D" w14:textId="77777777" w:rsidR="008E1951" w:rsidRDefault="008E1951" w:rsidP="003B5B02">
      <w:pPr>
        <w:pStyle w:val="TituloPortadas"/>
        <w:spacing w:line="276" w:lineRule="auto"/>
      </w:pPr>
    </w:p>
    <w:p w14:paraId="1A35E961" w14:textId="346BCBAE" w:rsidR="003D77CB" w:rsidRDefault="003B6054" w:rsidP="003B5B02">
      <w:pPr>
        <w:pStyle w:val="TituloPortadas"/>
        <w:spacing w:line="276" w:lineRule="auto"/>
      </w:pPr>
      <w:r>
        <w:t>E</w:t>
      </w:r>
      <w:r w:rsidR="008E1951">
        <w:rPr>
          <w:caps w:val="0"/>
        </w:rPr>
        <w:t xml:space="preserve">laboración de matriz de riesgos climáticos de transición </w:t>
      </w:r>
      <w:r w:rsidR="00173AB0">
        <w:rPr>
          <w:caps w:val="0"/>
        </w:rPr>
        <w:t>empleando</w:t>
      </w:r>
      <w:r w:rsidR="008E1951">
        <w:rPr>
          <w:caps w:val="0"/>
        </w:rPr>
        <w:t xml:space="preserve"> técnicas de lógica difusa</w:t>
      </w:r>
    </w:p>
    <w:p w14:paraId="0EE5E00D" w14:textId="77777777" w:rsidR="003B5B02" w:rsidRDefault="003B5B02" w:rsidP="003B5B02">
      <w:pPr>
        <w:pStyle w:val="TituloPortadas"/>
        <w:spacing w:line="276" w:lineRule="auto"/>
      </w:pPr>
    </w:p>
    <w:p w14:paraId="5861EF62" w14:textId="77777777" w:rsidR="003B5B02" w:rsidRPr="003B5B02" w:rsidRDefault="003B5B02" w:rsidP="003B5B02">
      <w:pPr>
        <w:pStyle w:val="TituloPortadas"/>
        <w:spacing w:line="276" w:lineRule="auto"/>
      </w:pPr>
    </w:p>
    <w:p w14:paraId="39C65EB4" w14:textId="23C69177" w:rsidR="002D646B" w:rsidRDefault="008E1951" w:rsidP="003B5B02">
      <w:pPr>
        <w:pStyle w:val="TituloPortadas"/>
        <w:spacing w:line="276" w:lineRule="auto"/>
      </w:pPr>
      <w:r>
        <w:rPr>
          <w:caps w:val="0"/>
        </w:rPr>
        <w:t>Pablo Isaza Gómez</w:t>
      </w:r>
    </w:p>
    <w:p w14:paraId="46CF2DC3" w14:textId="77777777" w:rsidR="003B5B02" w:rsidRPr="003B5B02" w:rsidRDefault="003B5B02" w:rsidP="003B5B02">
      <w:pPr>
        <w:pStyle w:val="TituloPortadas"/>
        <w:spacing w:line="276" w:lineRule="auto"/>
      </w:pPr>
    </w:p>
    <w:p w14:paraId="0AA2CB53" w14:textId="18D2B27F" w:rsidR="004E5F12" w:rsidRDefault="003B6054" w:rsidP="003B5B02">
      <w:pPr>
        <w:spacing w:line="276" w:lineRule="auto"/>
        <w:jc w:val="center"/>
        <w:rPr>
          <w:b/>
          <w:sz w:val="28"/>
          <w:szCs w:val="28"/>
        </w:rPr>
      </w:pPr>
      <w:r>
        <w:rPr>
          <w:b/>
          <w:sz w:val="28"/>
          <w:szCs w:val="28"/>
        </w:rPr>
        <w:t>Ingeniería de Sistemas y Computación - Ingeniería Administrativa</w:t>
      </w:r>
    </w:p>
    <w:p w14:paraId="32B32DC3" w14:textId="77777777" w:rsidR="008E1951" w:rsidRPr="003B5B02" w:rsidRDefault="008E1951" w:rsidP="003B5B02">
      <w:pPr>
        <w:spacing w:line="276" w:lineRule="auto"/>
        <w:jc w:val="center"/>
        <w:rPr>
          <w:b/>
          <w:sz w:val="28"/>
          <w:szCs w:val="28"/>
        </w:rPr>
      </w:pPr>
    </w:p>
    <w:p w14:paraId="1DF2BFA7" w14:textId="00A49E29" w:rsidR="00740287" w:rsidRDefault="00740287" w:rsidP="008E1951">
      <w:pPr>
        <w:spacing w:before="0" w:line="240" w:lineRule="auto"/>
        <w:jc w:val="center"/>
        <w:rPr>
          <w:b/>
          <w:sz w:val="32"/>
          <w:szCs w:val="32"/>
        </w:rPr>
      </w:pPr>
      <w:r>
        <w:rPr>
          <w:b/>
          <w:sz w:val="32"/>
          <w:szCs w:val="32"/>
        </w:rPr>
        <w:t>Director:</w:t>
      </w:r>
    </w:p>
    <w:p w14:paraId="5300CED7" w14:textId="5B1BCAC4" w:rsidR="003D77CB" w:rsidRDefault="003B6054" w:rsidP="008E1951">
      <w:pPr>
        <w:spacing w:before="0" w:line="240" w:lineRule="auto"/>
        <w:jc w:val="center"/>
        <w:rPr>
          <w:b/>
          <w:sz w:val="32"/>
          <w:szCs w:val="32"/>
        </w:rPr>
      </w:pPr>
      <w:r>
        <w:rPr>
          <w:b/>
          <w:sz w:val="32"/>
          <w:szCs w:val="32"/>
        </w:rPr>
        <w:t xml:space="preserve">Juan Fernando Pérez </w:t>
      </w:r>
      <w:proofErr w:type="spellStart"/>
      <w:r>
        <w:rPr>
          <w:b/>
          <w:sz w:val="32"/>
          <w:szCs w:val="32"/>
        </w:rPr>
        <w:t>Pérez</w:t>
      </w:r>
      <w:proofErr w:type="spellEnd"/>
      <w:r w:rsidR="00740287">
        <w:rPr>
          <w:b/>
          <w:sz w:val="32"/>
          <w:szCs w:val="32"/>
        </w:rPr>
        <w:t xml:space="preserve">, </w:t>
      </w:r>
      <w:proofErr w:type="spellStart"/>
      <w:r w:rsidR="00B021ED">
        <w:rPr>
          <w:b/>
          <w:sz w:val="32"/>
          <w:szCs w:val="32"/>
        </w:rPr>
        <w:t>MSc</w:t>
      </w:r>
      <w:proofErr w:type="spellEnd"/>
      <w:r w:rsidR="00680E8D">
        <w:rPr>
          <w:b/>
          <w:sz w:val="32"/>
          <w:szCs w:val="32"/>
        </w:rPr>
        <w:t>.</w:t>
      </w:r>
    </w:p>
    <w:p w14:paraId="61C7D688" w14:textId="77777777" w:rsidR="008E1951" w:rsidRDefault="008E1951" w:rsidP="008E1951">
      <w:pPr>
        <w:spacing w:before="0" w:line="240" w:lineRule="auto"/>
        <w:jc w:val="center"/>
        <w:rPr>
          <w:b/>
          <w:sz w:val="32"/>
          <w:szCs w:val="32"/>
        </w:rPr>
      </w:pPr>
    </w:p>
    <w:p w14:paraId="61C7D9E1" w14:textId="77777777" w:rsidR="008E1951" w:rsidRDefault="008E1951" w:rsidP="008E1951">
      <w:pPr>
        <w:spacing w:before="0" w:line="240" w:lineRule="auto"/>
        <w:jc w:val="center"/>
        <w:rPr>
          <w:b/>
          <w:sz w:val="32"/>
          <w:szCs w:val="32"/>
        </w:rPr>
      </w:pPr>
    </w:p>
    <w:p w14:paraId="2B173B19" w14:textId="1A18DEC2" w:rsidR="00740287" w:rsidRDefault="00740287" w:rsidP="008E1951">
      <w:pPr>
        <w:spacing w:before="0" w:line="276" w:lineRule="auto"/>
        <w:jc w:val="center"/>
        <w:rPr>
          <w:b/>
          <w:sz w:val="32"/>
          <w:szCs w:val="32"/>
        </w:rPr>
      </w:pPr>
      <w:r>
        <w:rPr>
          <w:b/>
          <w:sz w:val="32"/>
          <w:szCs w:val="32"/>
        </w:rPr>
        <w:t>Codirectora:</w:t>
      </w:r>
    </w:p>
    <w:p w14:paraId="47267EE9" w14:textId="2049E89B" w:rsidR="00740287" w:rsidRDefault="00740287" w:rsidP="008E1951">
      <w:pPr>
        <w:spacing w:before="0" w:line="276" w:lineRule="auto"/>
        <w:jc w:val="center"/>
        <w:rPr>
          <w:b/>
          <w:sz w:val="32"/>
          <w:szCs w:val="32"/>
        </w:rPr>
      </w:pPr>
      <w:r>
        <w:rPr>
          <w:b/>
          <w:sz w:val="32"/>
          <w:szCs w:val="32"/>
        </w:rPr>
        <w:t>Isis Bonet Cruz, PhD</w:t>
      </w:r>
    </w:p>
    <w:p w14:paraId="3B859C09" w14:textId="31EF4D37" w:rsidR="00071849" w:rsidRDefault="00071849" w:rsidP="003B5B02">
      <w:pPr>
        <w:spacing w:line="276" w:lineRule="auto"/>
        <w:jc w:val="center"/>
        <w:rPr>
          <w:b/>
          <w:sz w:val="32"/>
          <w:szCs w:val="32"/>
        </w:rPr>
      </w:pPr>
    </w:p>
    <w:p w14:paraId="67B059D2" w14:textId="53EE05CD" w:rsidR="008E1951" w:rsidRDefault="008E1951" w:rsidP="003B5B02">
      <w:pPr>
        <w:pStyle w:val="TituloPortadas"/>
        <w:spacing w:line="276" w:lineRule="auto"/>
        <w:rPr>
          <w:caps w:val="0"/>
        </w:rPr>
      </w:pPr>
      <w:r w:rsidRPr="008E1951">
        <w:rPr>
          <w:caps w:val="0"/>
        </w:rPr>
        <w:t xml:space="preserve">Ingeniería De Sistemas </w:t>
      </w:r>
      <w:r w:rsidR="002020CE">
        <w:rPr>
          <w:caps w:val="0"/>
        </w:rPr>
        <w:t>y</w:t>
      </w:r>
      <w:r w:rsidRPr="008E1951">
        <w:rPr>
          <w:caps w:val="0"/>
        </w:rPr>
        <w:t xml:space="preserve"> Computación </w:t>
      </w:r>
    </w:p>
    <w:p w14:paraId="50BF113F" w14:textId="58D7BE67" w:rsidR="002D646B" w:rsidRDefault="008E1951" w:rsidP="003B5B02">
      <w:pPr>
        <w:pStyle w:val="TituloPortadas"/>
        <w:spacing w:line="276" w:lineRule="auto"/>
        <w:rPr>
          <w:caps w:val="0"/>
        </w:rPr>
      </w:pPr>
      <w:r w:rsidRPr="008E1951">
        <w:rPr>
          <w:caps w:val="0"/>
        </w:rPr>
        <w:t>Ingeniería Administrativa</w:t>
      </w:r>
    </w:p>
    <w:p w14:paraId="026C1BAF" w14:textId="77777777" w:rsidR="008E1951" w:rsidRDefault="008E1951" w:rsidP="008E1951">
      <w:pPr>
        <w:pStyle w:val="TituloPortadas"/>
        <w:spacing w:line="276" w:lineRule="auto"/>
      </w:pPr>
      <w:r>
        <w:t>UNIVERSIDAD EIA</w:t>
      </w:r>
    </w:p>
    <w:p w14:paraId="4D057999" w14:textId="77777777" w:rsidR="002D646B" w:rsidRDefault="002D646B" w:rsidP="003B5B02">
      <w:pPr>
        <w:pStyle w:val="TituloPortadas"/>
        <w:spacing w:line="276" w:lineRule="auto"/>
      </w:pPr>
      <w:r>
        <w:t>Envigado</w:t>
      </w:r>
    </w:p>
    <w:p w14:paraId="56DD48BD" w14:textId="1981E3CC" w:rsidR="009E5BC9" w:rsidRPr="00BA1C33" w:rsidRDefault="004E5F12" w:rsidP="003B5B02">
      <w:pPr>
        <w:pStyle w:val="TituloPortadas"/>
        <w:spacing w:line="276" w:lineRule="auto"/>
      </w:pPr>
      <w:r>
        <w:t>202</w:t>
      </w:r>
      <w:r w:rsidR="008E1951">
        <w:t>3</w:t>
      </w:r>
    </w:p>
    <w:p w14:paraId="1D4D4675" w14:textId="55C4BD65" w:rsidR="009E5BC9" w:rsidRDefault="008E1951" w:rsidP="008E1951">
      <w:pPr>
        <w:tabs>
          <w:tab w:val="left" w:pos="5328"/>
        </w:tabs>
      </w:pPr>
      <w:r>
        <w:tab/>
      </w:r>
    </w:p>
    <w:p w14:paraId="023C715A" w14:textId="6347D50A" w:rsidR="008E1951" w:rsidRPr="008E1951" w:rsidRDefault="008E1951" w:rsidP="008E1951">
      <w:pPr>
        <w:tabs>
          <w:tab w:val="left" w:pos="5328"/>
        </w:tabs>
        <w:sectPr w:rsidR="008E1951" w:rsidRPr="008E1951" w:rsidSect="00F55D2E">
          <w:headerReference w:type="default" r:id="rId9"/>
          <w:footerReference w:type="default" r:id="rId10"/>
          <w:footerReference w:type="first" r:id="rId11"/>
          <w:pgSz w:w="12242" w:h="15842" w:code="1"/>
          <w:pgMar w:top="1418" w:right="1418" w:bottom="1418" w:left="1418" w:header="851" w:footer="851" w:gutter="0"/>
          <w:cols w:space="720"/>
        </w:sectPr>
      </w:pPr>
      <w:r>
        <w:tab/>
      </w:r>
    </w:p>
    <w:p w14:paraId="63D53261" w14:textId="77777777" w:rsidR="005A45F6" w:rsidRDefault="005A45F6" w:rsidP="00552981">
      <w:pPr>
        <w:pStyle w:val="TituloPortadas"/>
        <w:spacing w:before="40" w:line="240" w:lineRule="auto"/>
      </w:pPr>
      <w:r w:rsidRPr="005A45F6">
        <w:lastRenderedPageBreak/>
        <w:t>CONTENIDO</w:t>
      </w:r>
    </w:p>
    <w:p w14:paraId="04FAA549" w14:textId="77777777" w:rsidR="005A45F6" w:rsidRDefault="004A2F7E" w:rsidP="00552981">
      <w:pPr>
        <w:spacing w:before="40" w:line="240" w:lineRule="auto"/>
        <w:jc w:val="right"/>
      </w:pPr>
      <w:r>
        <w:t>pág.</w:t>
      </w:r>
    </w:p>
    <w:p w14:paraId="2CCF47F2" w14:textId="60D10C81" w:rsidR="00926A9B" w:rsidRDefault="00FC2D70">
      <w:pPr>
        <w:pStyle w:val="TDC1"/>
        <w:rPr>
          <w:rFonts w:eastAsiaTheme="minorEastAsia" w:cstheme="minorBidi"/>
          <w:b w:val="0"/>
          <w:bCs w:val="0"/>
          <w:i w:val="0"/>
          <w:iCs w:val="0"/>
          <w:noProof/>
          <w:kern w:val="2"/>
          <w:sz w:val="22"/>
          <w:szCs w:val="22"/>
          <w:lang w:val="es-CO"/>
          <w14:ligatures w14:val="standardContextual"/>
        </w:rPr>
      </w:pPr>
      <w:r>
        <w:rPr>
          <w:caps/>
          <w:szCs w:val="22"/>
        </w:rPr>
        <w:fldChar w:fldCharType="begin"/>
      </w:r>
      <w:r w:rsidRPr="00552981">
        <w:instrText xml:space="preserve"> TOC \o "1-3" \h \z \u </w:instrText>
      </w:r>
      <w:r>
        <w:rPr>
          <w:caps/>
          <w:szCs w:val="22"/>
        </w:rPr>
        <w:fldChar w:fldCharType="separate"/>
      </w:r>
      <w:hyperlink w:anchor="_Toc149994736" w:history="1">
        <w:r w:rsidR="00926A9B" w:rsidRPr="00FF6A5E">
          <w:rPr>
            <w:rStyle w:val="Hipervnculo"/>
            <w:noProof/>
          </w:rPr>
          <w:t>1</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rPr>
          <w:t>Introducción</w:t>
        </w:r>
        <w:r w:rsidR="00926A9B">
          <w:rPr>
            <w:noProof/>
            <w:webHidden/>
          </w:rPr>
          <w:tab/>
        </w:r>
        <w:r w:rsidR="00926A9B">
          <w:rPr>
            <w:noProof/>
            <w:webHidden/>
          </w:rPr>
          <w:fldChar w:fldCharType="begin"/>
        </w:r>
        <w:r w:rsidR="00926A9B">
          <w:rPr>
            <w:noProof/>
            <w:webHidden/>
          </w:rPr>
          <w:instrText xml:space="preserve"> PAGEREF _Toc149994736 \h </w:instrText>
        </w:r>
        <w:r w:rsidR="00926A9B">
          <w:rPr>
            <w:noProof/>
            <w:webHidden/>
          </w:rPr>
        </w:r>
        <w:r w:rsidR="00926A9B">
          <w:rPr>
            <w:noProof/>
            <w:webHidden/>
          </w:rPr>
          <w:fldChar w:fldCharType="separate"/>
        </w:r>
        <w:r w:rsidR="00926A9B">
          <w:rPr>
            <w:noProof/>
            <w:webHidden/>
          </w:rPr>
          <w:t>10</w:t>
        </w:r>
        <w:r w:rsidR="00926A9B">
          <w:rPr>
            <w:noProof/>
            <w:webHidden/>
          </w:rPr>
          <w:fldChar w:fldCharType="end"/>
        </w:r>
      </w:hyperlink>
    </w:p>
    <w:p w14:paraId="2707E3F6" w14:textId="039C4DB9" w:rsidR="00926A9B" w:rsidRDefault="009F4F0D">
      <w:pPr>
        <w:pStyle w:val="TDC1"/>
        <w:rPr>
          <w:rFonts w:eastAsiaTheme="minorEastAsia" w:cstheme="minorBidi"/>
          <w:b w:val="0"/>
          <w:bCs w:val="0"/>
          <w:i w:val="0"/>
          <w:iCs w:val="0"/>
          <w:noProof/>
          <w:kern w:val="2"/>
          <w:sz w:val="22"/>
          <w:szCs w:val="22"/>
          <w:lang w:val="es-CO"/>
          <w14:ligatures w14:val="standardContextual"/>
        </w:rPr>
      </w:pPr>
      <w:hyperlink w:anchor="_Toc149994737" w:history="1">
        <w:r w:rsidR="00926A9B" w:rsidRPr="00FF6A5E">
          <w:rPr>
            <w:rStyle w:val="Hipervnculo"/>
            <w:noProof/>
          </w:rPr>
          <w:t>2</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rPr>
          <w:t>Preliminares</w:t>
        </w:r>
        <w:r w:rsidR="00926A9B">
          <w:rPr>
            <w:noProof/>
            <w:webHidden/>
          </w:rPr>
          <w:tab/>
        </w:r>
        <w:r w:rsidR="00926A9B">
          <w:rPr>
            <w:noProof/>
            <w:webHidden/>
          </w:rPr>
          <w:fldChar w:fldCharType="begin"/>
        </w:r>
        <w:r w:rsidR="00926A9B">
          <w:rPr>
            <w:noProof/>
            <w:webHidden/>
          </w:rPr>
          <w:instrText xml:space="preserve"> PAGEREF _Toc149994737 \h </w:instrText>
        </w:r>
        <w:r w:rsidR="00926A9B">
          <w:rPr>
            <w:noProof/>
            <w:webHidden/>
          </w:rPr>
        </w:r>
        <w:r w:rsidR="00926A9B">
          <w:rPr>
            <w:noProof/>
            <w:webHidden/>
          </w:rPr>
          <w:fldChar w:fldCharType="separate"/>
        </w:r>
        <w:r w:rsidR="00926A9B">
          <w:rPr>
            <w:noProof/>
            <w:webHidden/>
          </w:rPr>
          <w:t>12</w:t>
        </w:r>
        <w:r w:rsidR="00926A9B">
          <w:rPr>
            <w:noProof/>
            <w:webHidden/>
          </w:rPr>
          <w:fldChar w:fldCharType="end"/>
        </w:r>
      </w:hyperlink>
    </w:p>
    <w:p w14:paraId="74C10E0F" w14:textId="315644D0"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38" w:history="1">
        <w:r w:rsidR="00926A9B" w:rsidRPr="00FF6A5E">
          <w:rPr>
            <w:rStyle w:val="Hipervnculo"/>
            <w:noProof/>
          </w:rPr>
          <w:t>2.1</w:t>
        </w:r>
        <w:r w:rsidR="00926A9B">
          <w:rPr>
            <w:rFonts w:eastAsiaTheme="minorEastAsia" w:cstheme="minorBidi"/>
            <w:b w:val="0"/>
            <w:bCs w:val="0"/>
            <w:noProof/>
            <w:kern w:val="2"/>
            <w:lang w:val="es-CO"/>
            <w14:ligatures w14:val="standardContextual"/>
          </w:rPr>
          <w:tab/>
        </w:r>
        <w:r w:rsidR="00926A9B" w:rsidRPr="00FF6A5E">
          <w:rPr>
            <w:rStyle w:val="Hipervnculo"/>
            <w:noProof/>
          </w:rPr>
          <w:t>Planteamiento del problema</w:t>
        </w:r>
        <w:r w:rsidR="00926A9B">
          <w:rPr>
            <w:noProof/>
            <w:webHidden/>
          </w:rPr>
          <w:tab/>
        </w:r>
        <w:r w:rsidR="00926A9B">
          <w:rPr>
            <w:noProof/>
            <w:webHidden/>
          </w:rPr>
          <w:fldChar w:fldCharType="begin"/>
        </w:r>
        <w:r w:rsidR="00926A9B">
          <w:rPr>
            <w:noProof/>
            <w:webHidden/>
          </w:rPr>
          <w:instrText xml:space="preserve"> PAGEREF _Toc149994738 \h </w:instrText>
        </w:r>
        <w:r w:rsidR="00926A9B">
          <w:rPr>
            <w:noProof/>
            <w:webHidden/>
          </w:rPr>
        </w:r>
        <w:r w:rsidR="00926A9B">
          <w:rPr>
            <w:noProof/>
            <w:webHidden/>
          </w:rPr>
          <w:fldChar w:fldCharType="separate"/>
        </w:r>
        <w:r w:rsidR="00926A9B">
          <w:rPr>
            <w:noProof/>
            <w:webHidden/>
          </w:rPr>
          <w:t>12</w:t>
        </w:r>
        <w:r w:rsidR="00926A9B">
          <w:rPr>
            <w:noProof/>
            <w:webHidden/>
          </w:rPr>
          <w:fldChar w:fldCharType="end"/>
        </w:r>
      </w:hyperlink>
    </w:p>
    <w:p w14:paraId="2D455068" w14:textId="7D57AD56"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39" w:history="1">
        <w:r w:rsidR="00926A9B" w:rsidRPr="00FF6A5E">
          <w:rPr>
            <w:rStyle w:val="Hipervnculo"/>
            <w:noProof/>
          </w:rPr>
          <w:t>2.1.1</w:t>
        </w:r>
        <w:r w:rsidR="00926A9B">
          <w:rPr>
            <w:rFonts w:eastAsiaTheme="minorEastAsia" w:cstheme="minorBidi"/>
            <w:noProof/>
            <w:kern w:val="2"/>
            <w:sz w:val="22"/>
            <w:szCs w:val="22"/>
            <w:lang w:val="es-CO"/>
            <w14:ligatures w14:val="standardContextual"/>
          </w:rPr>
          <w:tab/>
        </w:r>
        <w:r w:rsidR="00926A9B" w:rsidRPr="00FF6A5E">
          <w:rPr>
            <w:rStyle w:val="Hipervnculo"/>
            <w:noProof/>
          </w:rPr>
          <w:t>Formulación del problema</w:t>
        </w:r>
        <w:r w:rsidR="00926A9B">
          <w:rPr>
            <w:noProof/>
            <w:webHidden/>
          </w:rPr>
          <w:tab/>
        </w:r>
        <w:r w:rsidR="00926A9B">
          <w:rPr>
            <w:noProof/>
            <w:webHidden/>
          </w:rPr>
          <w:fldChar w:fldCharType="begin"/>
        </w:r>
        <w:r w:rsidR="00926A9B">
          <w:rPr>
            <w:noProof/>
            <w:webHidden/>
          </w:rPr>
          <w:instrText xml:space="preserve"> PAGEREF _Toc149994739 \h </w:instrText>
        </w:r>
        <w:r w:rsidR="00926A9B">
          <w:rPr>
            <w:noProof/>
            <w:webHidden/>
          </w:rPr>
        </w:r>
        <w:r w:rsidR="00926A9B">
          <w:rPr>
            <w:noProof/>
            <w:webHidden/>
          </w:rPr>
          <w:fldChar w:fldCharType="separate"/>
        </w:r>
        <w:r w:rsidR="00926A9B">
          <w:rPr>
            <w:noProof/>
            <w:webHidden/>
          </w:rPr>
          <w:t>12</w:t>
        </w:r>
        <w:r w:rsidR="00926A9B">
          <w:rPr>
            <w:noProof/>
            <w:webHidden/>
          </w:rPr>
          <w:fldChar w:fldCharType="end"/>
        </w:r>
      </w:hyperlink>
    </w:p>
    <w:p w14:paraId="572A8277" w14:textId="7A33213E"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40" w:history="1">
        <w:r w:rsidR="00926A9B" w:rsidRPr="00FF6A5E">
          <w:rPr>
            <w:rStyle w:val="Hipervnculo"/>
            <w:noProof/>
          </w:rPr>
          <w:t>2.1.2</w:t>
        </w:r>
        <w:r w:rsidR="00926A9B">
          <w:rPr>
            <w:rFonts w:eastAsiaTheme="minorEastAsia" w:cstheme="minorBidi"/>
            <w:noProof/>
            <w:kern w:val="2"/>
            <w:sz w:val="22"/>
            <w:szCs w:val="22"/>
            <w:lang w:val="es-CO"/>
            <w14:ligatures w14:val="standardContextual"/>
          </w:rPr>
          <w:tab/>
        </w:r>
        <w:r w:rsidR="00926A9B" w:rsidRPr="00FF6A5E">
          <w:rPr>
            <w:rStyle w:val="Hipervnculo"/>
            <w:noProof/>
          </w:rPr>
          <w:t>Justificación</w:t>
        </w:r>
        <w:r w:rsidR="00926A9B">
          <w:rPr>
            <w:noProof/>
            <w:webHidden/>
          </w:rPr>
          <w:tab/>
        </w:r>
        <w:r w:rsidR="00926A9B">
          <w:rPr>
            <w:noProof/>
            <w:webHidden/>
          </w:rPr>
          <w:fldChar w:fldCharType="begin"/>
        </w:r>
        <w:r w:rsidR="00926A9B">
          <w:rPr>
            <w:noProof/>
            <w:webHidden/>
          </w:rPr>
          <w:instrText xml:space="preserve"> PAGEREF _Toc149994740 \h </w:instrText>
        </w:r>
        <w:r w:rsidR="00926A9B">
          <w:rPr>
            <w:noProof/>
            <w:webHidden/>
          </w:rPr>
        </w:r>
        <w:r w:rsidR="00926A9B">
          <w:rPr>
            <w:noProof/>
            <w:webHidden/>
          </w:rPr>
          <w:fldChar w:fldCharType="separate"/>
        </w:r>
        <w:r w:rsidR="00926A9B">
          <w:rPr>
            <w:noProof/>
            <w:webHidden/>
          </w:rPr>
          <w:t>13</w:t>
        </w:r>
        <w:r w:rsidR="00926A9B">
          <w:rPr>
            <w:noProof/>
            <w:webHidden/>
          </w:rPr>
          <w:fldChar w:fldCharType="end"/>
        </w:r>
      </w:hyperlink>
    </w:p>
    <w:p w14:paraId="14DC0386" w14:textId="17A357D5"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41" w:history="1">
        <w:r w:rsidR="00926A9B" w:rsidRPr="00FF6A5E">
          <w:rPr>
            <w:rStyle w:val="Hipervnculo"/>
            <w:noProof/>
          </w:rPr>
          <w:t>2.2</w:t>
        </w:r>
        <w:r w:rsidR="00926A9B">
          <w:rPr>
            <w:rFonts w:eastAsiaTheme="minorEastAsia" w:cstheme="minorBidi"/>
            <w:b w:val="0"/>
            <w:bCs w:val="0"/>
            <w:noProof/>
            <w:kern w:val="2"/>
            <w:lang w:val="es-CO"/>
            <w14:ligatures w14:val="standardContextual"/>
          </w:rPr>
          <w:tab/>
        </w:r>
        <w:r w:rsidR="00926A9B" w:rsidRPr="00FF6A5E">
          <w:rPr>
            <w:rStyle w:val="Hipervnculo"/>
            <w:noProof/>
          </w:rPr>
          <w:t>objetivos del proyecto</w:t>
        </w:r>
        <w:r w:rsidR="00926A9B">
          <w:rPr>
            <w:noProof/>
            <w:webHidden/>
          </w:rPr>
          <w:tab/>
        </w:r>
        <w:r w:rsidR="00926A9B">
          <w:rPr>
            <w:noProof/>
            <w:webHidden/>
          </w:rPr>
          <w:fldChar w:fldCharType="begin"/>
        </w:r>
        <w:r w:rsidR="00926A9B">
          <w:rPr>
            <w:noProof/>
            <w:webHidden/>
          </w:rPr>
          <w:instrText xml:space="preserve"> PAGEREF _Toc149994741 \h </w:instrText>
        </w:r>
        <w:r w:rsidR="00926A9B">
          <w:rPr>
            <w:noProof/>
            <w:webHidden/>
          </w:rPr>
        </w:r>
        <w:r w:rsidR="00926A9B">
          <w:rPr>
            <w:noProof/>
            <w:webHidden/>
          </w:rPr>
          <w:fldChar w:fldCharType="separate"/>
        </w:r>
        <w:r w:rsidR="00926A9B">
          <w:rPr>
            <w:noProof/>
            <w:webHidden/>
          </w:rPr>
          <w:t>15</w:t>
        </w:r>
        <w:r w:rsidR="00926A9B">
          <w:rPr>
            <w:noProof/>
            <w:webHidden/>
          </w:rPr>
          <w:fldChar w:fldCharType="end"/>
        </w:r>
      </w:hyperlink>
    </w:p>
    <w:p w14:paraId="577FDB8F" w14:textId="2C2A320E"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42" w:history="1">
        <w:r w:rsidR="00926A9B" w:rsidRPr="00FF6A5E">
          <w:rPr>
            <w:rStyle w:val="Hipervnculo"/>
            <w:noProof/>
            <w:lang w:val="es-MX"/>
          </w:rPr>
          <w:t>2.2.1</w:t>
        </w:r>
        <w:r w:rsidR="00926A9B">
          <w:rPr>
            <w:rFonts w:eastAsiaTheme="minorEastAsia" w:cstheme="minorBidi"/>
            <w:noProof/>
            <w:kern w:val="2"/>
            <w:sz w:val="22"/>
            <w:szCs w:val="22"/>
            <w:lang w:val="es-CO"/>
            <w14:ligatures w14:val="standardContextual"/>
          </w:rPr>
          <w:tab/>
        </w:r>
        <w:r w:rsidR="00926A9B" w:rsidRPr="00FF6A5E">
          <w:rPr>
            <w:rStyle w:val="Hipervnculo"/>
            <w:noProof/>
            <w:lang w:val="es-MX"/>
          </w:rPr>
          <w:t>Objetivo General</w:t>
        </w:r>
        <w:r w:rsidR="00926A9B">
          <w:rPr>
            <w:noProof/>
            <w:webHidden/>
          </w:rPr>
          <w:tab/>
        </w:r>
        <w:r w:rsidR="00926A9B">
          <w:rPr>
            <w:noProof/>
            <w:webHidden/>
          </w:rPr>
          <w:fldChar w:fldCharType="begin"/>
        </w:r>
        <w:r w:rsidR="00926A9B">
          <w:rPr>
            <w:noProof/>
            <w:webHidden/>
          </w:rPr>
          <w:instrText xml:space="preserve"> PAGEREF _Toc149994742 \h </w:instrText>
        </w:r>
        <w:r w:rsidR="00926A9B">
          <w:rPr>
            <w:noProof/>
            <w:webHidden/>
          </w:rPr>
        </w:r>
        <w:r w:rsidR="00926A9B">
          <w:rPr>
            <w:noProof/>
            <w:webHidden/>
          </w:rPr>
          <w:fldChar w:fldCharType="separate"/>
        </w:r>
        <w:r w:rsidR="00926A9B">
          <w:rPr>
            <w:noProof/>
            <w:webHidden/>
          </w:rPr>
          <w:t>15</w:t>
        </w:r>
        <w:r w:rsidR="00926A9B">
          <w:rPr>
            <w:noProof/>
            <w:webHidden/>
          </w:rPr>
          <w:fldChar w:fldCharType="end"/>
        </w:r>
      </w:hyperlink>
    </w:p>
    <w:p w14:paraId="5F16D969" w14:textId="05D87501"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43" w:history="1">
        <w:r w:rsidR="00926A9B" w:rsidRPr="00FF6A5E">
          <w:rPr>
            <w:rStyle w:val="Hipervnculo"/>
            <w:noProof/>
            <w:lang w:val="es-MX"/>
          </w:rPr>
          <w:t>2.2.2</w:t>
        </w:r>
        <w:r w:rsidR="00926A9B">
          <w:rPr>
            <w:rFonts w:eastAsiaTheme="minorEastAsia" w:cstheme="minorBidi"/>
            <w:noProof/>
            <w:kern w:val="2"/>
            <w:sz w:val="22"/>
            <w:szCs w:val="22"/>
            <w:lang w:val="es-CO"/>
            <w14:ligatures w14:val="standardContextual"/>
          </w:rPr>
          <w:tab/>
        </w:r>
        <w:r w:rsidR="00926A9B" w:rsidRPr="00FF6A5E">
          <w:rPr>
            <w:rStyle w:val="Hipervnculo"/>
            <w:noProof/>
            <w:lang w:val="es-MX"/>
          </w:rPr>
          <w:t>Objetivos Específicos</w:t>
        </w:r>
        <w:r w:rsidR="00926A9B">
          <w:rPr>
            <w:noProof/>
            <w:webHidden/>
          </w:rPr>
          <w:tab/>
        </w:r>
        <w:r w:rsidR="00926A9B">
          <w:rPr>
            <w:noProof/>
            <w:webHidden/>
          </w:rPr>
          <w:fldChar w:fldCharType="begin"/>
        </w:r>
        <w:r w:rsidR="00926A9B">
          <w:rPr>
            <w:noProof/>
            <w:webHidden/>
          </w:rPr>
          <w:instrText xml:space="preserve"> PAGEREF _Toc149994743 \h </w:instrText>
        </w:r>
        <w:r w:rsidR="00926A9B">
          <w:rPr>
            <w:noProof/>
            <w:webHidden/>
          </w:rPr>
        </w:r>
        <w:r w:rsidR="00926A9B">
          <w:rPr>
            <w:noProof/>
            <w:webHidden/>
          </w:rPr>
          <w:fldChar w:fldCharType="separate"/>
        </w:r>
        <w:r w:rsidR="00926A9B">
          <w:rPr>
            <w:noProof/>
            <w:webHidden/>
          </w:rPr>
          <w:t>15</w:t>
        </w:r>
        <w:r w:rsidR="00926A9B">
          <w:rPr>
            <w:noProof/>
            <w:webHidden/>
          </w:rPr>
          <w:fldChar w:fldCharType="end"/>
        </w:r>
      </w:hyperlink>
    </w:p>
    <w:p w14:paraId="0A9F7088" w14:textId="311562DE"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44" w:history="1">
        <w:r w:rsidR="00926A9B" w:rsidRPr="00FF6A5E">
          <w:rPr>
            <w:rStyle w:val="Hipervnculo"/>
            <w:noProof/>
          </w:rPr>
          <w:t>2.3</w:t>
        </w:r>
        <w:r w:rsidR="00926A9B">
          <w:rPr>
            <w:rFonts w:eastAsiaTheme="minorEastAsia" w:cstheme="minorBidi"/>
            <w:b w:val="0"/>
            <w:bCs w:val="0"/>
            <w:noProof/>
            <w:kern w:val="2"/>
            <w:lang w:val="es-CO"/>
            <w14:ligatures w14:val="standardContextual"/>
          </w:rPr>
          <w:tab/>
        </w:r>
        <w:r w:rsidR="00926A9B" w:rsidRPr="00FF6A5E">
          <w:rPr>
            <w:rStyle w:val="Hipervnculo"/>
            <w:noProof/>
          </w:rPr>
          <w:t>Marco de referencia</w:t>
        </w:r>
        <w:r w:rsidR="00926A9B">
          <w:rPr>
            <w:noProof/>
            <w:webHidden/>
          </w:rPr>
          <w:tab/>
        </w:r>
        <w:r w:rsidR="00926A9B">
          <w:rPr>
            <w:noProof/>
            <w:webHidden/>
          </w:rPr>
          <w:fldChar w:fldCharType="begin"/>
        </w:r>
        <w:r w:rsidR="00926A9B">
          <w:rPr>
            <w:noProof/>
            <w:webHidden/>
          </w:rPr>
          <w:instrText xml:space="preserve"> PAGEREF _Toc149994744 \h </w:instrText>
        </w:r>
        <w:r w:rsidR="00926A9B">
          <w:rPr>
            <w:noProof/>
            <w:webHidden/>
          </w:rPr>
        </w:r>
        <w:r w:rsidR="00926A9B">
          <w:rPr>
            <w:noProof/>
            <w:webHidden/>
          </w:rPr>
          <w:fldChar w:fldCharType="separate"/>
        </w:r>
        <w:r w:rsidR="00926A9B">
          <w:rPr>
            <w:noProof/>
            <w:webHidden/>
          </w:rPr>
          <w:t>16</w:t>
        </w:r>
        <w:r w:rsidR="00926A9B">
          <w:rPr>
            <w:noProof/>
            <w:webHidden/>
          </w:rPr>
          <w:fldChar w:fldCharType="end"/>
        </w:r>
      </w:hyperlink>
    </w:p>
    <w:p w14:paraId="21ACCDA7" w14:textId="5E7243E5"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45" w:history="1">
        <w:r w:rsidR="00926A9B" w:rsidRPr="00FF6A5E">
          <w:rPr>
            <w:rStyle w:val="Hipervnculo"/>
            <w:noProof/>
          </w:rPr>
          <w:t>2.3.1</w:t>
        </w:r>
        <w:r w:rsidR="00926A9B">
          <w:rPr>
            <w:rFonts w:eastAsiaTheme="minorEastAsia" w:cstheme="minorBidi"/>
            <w:noProof/>
            <w:kern w:val="2"/>
            <w:sz w:val="22"/>
            <w:szCs w:val="22"/>
            <w:lang w:val="es-CO"/>
            <w14:ligatures w14:val="standardContextual"/>
          </w:rPr>
          <w:tab/>
        </w:r>
        <w:r w:rsidR="00926A9B" w:rsidRPr="00FF6A5E">
          <w:rPr>
            <w:rStyle w:val="Hipervnculo"/>
            <w:noProof/>
          </w:rPr>
          <w:t>Antecedentes</w:t>
        </w:r>
        <w:r w:rsidR="00926A9B">
          <w:rPr>
            <w:noProof/>
            <w:webHidden/>
          </w:rPr>
          <w:tab/>
        </w:r>
        <w:r w:rsidR="00926A9B">
          <w:rPr>
            <w:noProof/>
            <w:webHidden/>
          </w:rPr>
          <w:fldChar w:fldCharType="begin"/>
        </w:r>
        <w:r w:rsidR="00926A9B">
          <w:rPr>
            <w:noProof/>
            <w:webHidden/>
          </w:rPr>
          <w:instrText xml:space="preserve"> PAGEREF _Toc149994745 \h </w:instrText>
        </w:r>
        <w:r w:rsidR="00926A9B">
          <w:rPr>
            <w:noProof/>
            <w:webHidden/>
          </w:rPr>
        </w:r>
        <w:r w:rsidR="00926A9B">
          <w:rPr>
            <w:noProof/>
            <w:webHidden/>
          </w:rPr>
          <w:fldChar w:fldCharType="separate"/>
        </w:r>
        <w:r w:rsidR="00926A9B">
          <w:rPr>
            <w:noProof/>
            <w:webHidden/>
          </w:rPr>
          <w:t>16</w:t>
        </w:r>
        <w:r w:rsidR="00926A9B">
          <w:rPr>
            <w:noProof/>
            <w:webHidden/>
          </w:rPr>
          <w:fldChar w:fldCharType="end"/>
        </w:r>
      </w:hyperlink>
    </w:p>
    <w:p w14:paraId="7D5A34A4" w14:textId="1F207390"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46" w:history="1">
        <w:r w:rsidR="00926A9B" w:rsidRPr="00FF6A5E">
          <w:rPr>
            <w:rStyle w:val="Hipervnculo"/>
            <w:noProof/>
          </w:rPr>
          <w:t>2.3.2</w:t>
        </w:r>
        <w:r w:rsidR="00926A9B">
          <w:rPr>
            <w:rFonts w:eastAsiaTheme="minorEastAsia" w:cstheme="minorBidi"/>
            <w:noProof/>
            <w:kern w:val="2"/>
            <w:sz w:val="22"/>
            <w:szCs w:val="22"/>
            <w:lang w:val="es-CO"/>
            <w14:ligatures w14:val="standardContextual"/>
          </w:rPr>
          <w:tab/>
        </w:r>
        <w:r w:rsidR="00926A9B" w:rsidRPr="00FF6A5E">
          <w:rPr>
            <w:rStyle w:val="Hipervnculo"/>
            <w:noProof/>
          </w:rPr>
          <w:t>Marco Teórico</w:t>
        </w:r>
        <w:r w:rsidR="00926A9B">
          <w:rPr>
            <w:noProof/>
            <w:webHidden/>
          </w:rPr>
          <w:tab/>
        </w:r>
        <w:r w:rsidR="00926A9B">
          <w:rPr>
            <w:noProof/>
            <w:webHidden/>
          </w:rPr>
          <w:fldChar w:fldCharType="begin"/>
        </w:r>
        <w:r w:rsidR="00926A9B">
          <w:rPr>
            <w:noProof/>
            <w:webHidden/>
          </w:rPr>
          <w:instrText xml:space="preserve"> PAGEREF _Toc149994746 \h </w:instrText>
        </w:r>
        <w:r w:rsidR="00926A9B">
          <w:rPr>
            <w:noProof/>
            <w:webHidden/>
          </w:rPr>
        </w:r>
        <w:r w:rsidR="00926A9B">
          <w:rPr>
            <w:noProof/>
            <w:webHidden/>
          </w:rPr>
          <w:fldChar w:fldCharType="separate"/>
        </w:r>
        <w:r w:rsidR="00926A9B">
          <w:rPr>
            <w:noProof/>
            <w:webHidden/>
          </w:rPr>
          <w:t>19</w:t>
        </w:r>
        <w:r w:rsidR="00926A9B">
          <w:rPr>
            <w:noProof/>
            <w:webHidden/>
          </w:rPr>
          <w:fldChar w:fldCharType="end"/>
        </w:r>
      </w:hyperlink>
    </w:p>
    <w:p w14:paraId="08A26188" w14:textId="0725E05D" w:rsidR="00926A9B" w:rsidRDefault="009F4F0D">
      <w:pPr>
        <w:pStyle w:val="TDC1"/>
        <w:rPr>
          <w:rFonts w:eastAsiaTheme="minorEastAsia" w:cstheme="minorBidi"/>
          <w:b w:val="0"/>
          <w:bCs w:val="0"/>
          <w:i w:val="0"/>
          <w:iCs w:val="0"/>
          <w:noProof/>
          <w:kern w:val="2"/>
          <w:sz w:val="22"/>
          <w:szCs w:val="22"/>
          <w:lang w:val="es-CO"/>
          <w14:ligatures w14:val="standardContextual"/>
        </w:rPr>
      </w:pPr>
      <w:hyperlink w:anchor="_Toc149994747" w:history="1">
        <w:r w:rsidR="00926A9B" w:rsidRPr="00FF6A5E">
          <w:rPr>
            <w:rStyle w:val="Hipervnculo"/>
            <w:noProof/>
          </w:rPr>
          <w:t>3</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rPr>
          <w:t>Metodología</w:t>
        </w:r>
        <w:r w:rsidR="00926A9B">
          <w:rPr>
            <w:noProof/>
            <w:webHidden/>
          </w:rPr>
          <w:tab/>
        </w:r>
        <w:r w:rsidR="00926A9B">
          <w:rPr>
            <w:noProof/>
            <w:webHidden/>
          </w:rPr>
          <w:fldChar w:fldCharType="begin"/>
        </w:r>
        <w:r w:rsidR="00926A9B">
          <w:rPr>
            <w:noProof/>
            <w:webHidden/>
          </w:rPr>
          <w:instrText xml:space="preserve"> PAGEREF _Toc149994747 \h </w:instrText>
        </w:r>
        <w:r w:rsidR="00926A9B">
          <w:rPr>
            <w:noProof/>
            <w:webHidden/>
          </w:rPr>
        </w:r>
        <w:r w:rsidR="00926A9B">
          <w:rPr>
            <w:noProof/>
            <w:webHidden/>
          </w:rPr>
          <w:fldChar w:fldCharType="separate"/>
        </w:r>
        <w:r w:rsidR="00926A9B">
          <w:rPr>
            <w:noProof/>
            <w:webHidden/>
          </w:rPr>
          <w:t>25</w:t>
        </w:r>
        <w:r w:rsidR="00926A9B">
          <w:rPr>
            <w:noProof/>
            <w:webHidden/>
          </w:rPr>
          <w:fldChar w:fldCharType="end"/>
        </w:r>
      </w:hyperlink>
    </w:p>
    <w:p w14:paraId="58844BE3" w14:textId="07C8CED0"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48" w:history="1">
        <w:r w:rsidR="00926A9B" w:rsidRPr="00FF6A5E">
          <w:rPr>
            <w:rStyle w:val="Hipervnculo"/>
            <w:noProof/>
          </w:rPr>
          <w:t>3.1</w:t>
        </w:r>
        <w:r w:rsidR="00926A9B">
          <w:rPr>
            <w:rFonts w:eastAsiaTheme="minorEastAsia" w:cstheme="minorBidi"/>
            <w:b w:val="0"/>
            <w:bCs w:val="0"/>
            <w:noProof/>
            <w:kern w:val="2"/>
            <w:lang w:val="es-CO"/>
            <w14:ligatures w14:val="standardContextual"/>
          </w:rPr>
          <w:tab/>
        </w:r>
        <w:r w:rsidR="00926A9B" w:rsidRPr="00FF6A5E">
          <w:rPr>
            <w:rStyle w:val="Hipervnculo"/>
            <w:noProof/>
          </w:rPr>
          <w:t>Identificación de variables</w:t>
        </w:r>
        <w:r w:rsidR="00926A9B">
          <w:rPr>
            <w:noProof/>
            <w:webHidden/>
          </w:rPr>
          <w:tab/>
        </w:r>
        <w:r w:rsidR="00926A9B">
          <w:rPr>
            <w:noProof/>
            <w:webHidden/>
          </w:rPr>
          <w:fldChar w:fldCharType="begin"/>
        </w:r>
        <w:r w:rsidR="00926A9B">
          <w:rPr>
            <w:noProof/>
            <w:webHidden/>
          </w:rPr>
          <w:instrText xml:space="preserve"> PAGEREF _Toc149994748 \h </w:instrText>
        </w:r>
        <w:r w:rsidR="00926A9B">
          <w:rPr>
            <w:noProof/>
            <w:webHidden/>
          </w:rPr>
        </w:r>
        <w:r w:rsidR="00926A9B">
          <w:rPr>
            <w:noProof/>
            <w:webHidden/>
          </w:rPr>
          <w:fldChar w:fldCharType="separate"/>
        </w:r>
        <w:r w:rsidR="00926A9B">
          <w:rPr>
            <w:noProof/>
            <w:webHidden/>
          </w:rPr>
          <w:t>25</w:t>
        </w:r>
        <w:r w:rsidR="00926A9B">
          <w:rPr>
            <w:noProof/>
            <w:webHidden/>
          </w:rPr>
          <w:fldChar w:fldCharType="end"/>
        </w:r>
      </w:hyperlink>
    </w:p>
    <w:p w14:paraId="6660271E" w14:textId="18851F54"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49" w:history="1">
        <w:r w:rsidR="00926A9B" w:rsidRPr="00FF6A5E">
          <w:rPr>
            <w:rStyle w:val="Hipervnculo"/>
            <w:noProof/>
            <w:lang w:val="es-CO"/>
          </w:rPr>
          <w:t>3.2</w:t>
        </w:r>
        <w:r w:rsidR="00926A9B">
          <w:rPr>
            <w:rFonts w:eastAsiaTheme="minorEastAsia" w:cstheme="minorBidi"/>
            <w:b w:val="0"/>
            <w:bCs w:val="0"/>
            <w:noProof/>
            <w:kern w:val="2"/>
            <w:lang w:val="es-CO"/>
            <w14:ligatures w14:val="standardContextual"/>
          </w:rPr>
          <w:tab/>
        </w:r>
        <w:r w:rsidR="00926A9B" w:rsidRPr="00FF6A5E">
          <w:rPr>
            <w:rStyle w:val="Hipervnculo"/>
            <w:noProof/>
            <w:lang w:val="es-CO"/>
          </w:rPr>
          <w:t>Metodología TOPSIS</w:t>
        </w:r>
        <w:r w:rsidR="00926A9B">
          <w:rPr>
            <w:noProof/>
            <w:webHidden/>
          </w:rPr>
          <w:tab/>
        </w:r>
        <w:r w:rsidR="00926A9B">
          <w:rPr>
            <w:noProof/>
            <w:webHidden/>
          </w:rPr>
          <w:fldChar w:fldCharType="begin"/>
        </w:r>
        <w:r w:rsidR="00926A9B">
          <w:rPr>
            <w:noProof/>
            <w:webHidden/>
          </w:rPr>
          <w:instrText xml:space="preserve"> PAGEREF _Toc149994749 \h </w:instrText>
        </w:r>
        <w:r w:rsidR="00926A9B">
          <w:rPr>
            <w:noProof/>
            <w:webHidden/>
          </w:rPr>
        </w:r>
        <w:r w:rsidR="00926A9B">
          <w:rPr>
            <w:noProof/>
            <w:webHidden/>
          </w:rPr>
          <w:fldChar w:fldCharType="separate"/>
        </w:r>
        <w:r w:rsidR="00926A9B">
          <w:rPr>
            <w:noProof/>
            <w:webHidden/>
          </w:rPr>
          <w:t>26</w:t>
        </w:r>
        <w:r w:rsidR="00926A9B">
          <w:rPr>
            <w:noProof/>
            <w:webHidden/>
          </w:rPr>
          <w:fldChar w:fldCharType="end"/>
        </w:r>
      </w:hyperlink>
    </w:p>
    <w:p w14:paraId="11C99A12" w14:textId="3B781B3B"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50" w:history="1">
        <w:r w:rsidR="00926A9B" w:rsidRPr="00FF6A5E">
          <w:rPr>
            <w:rStyle w:val="Hipervnculo"/>
            <w:noProof/>
          </w:rPr>
          <w:t>3.3</w:t>
        </w:r>
        <w:r w:rsidR="00926A9B">
          <w:rPr>
            <w:rFonts w:eastAsiaTheme="minorEastAsia" w:cstheme="minorBidi"/>
            <w:b w:val="0"/>
            <w:bCs w:val="0"/>
            <w:noProof/>
            <w:kern w:val="2"/>
            <w:lang w:val="es-CO"/>
            <w14:ligatures w14:val="standardContextual"/>
          </w:rPr>
          <w:tab/>
        </w:r>
        <w:r w:rsidR="00926A9B" w:rsidRPr="00FF6A5E">
          <w:rPr>
            <w:rStyle w:val="Hipervnculo"/>
            <w:noProof/>
          </w:rPr>
          <w:t>Diseño de matriz de riesgos</w:t>
        </w:r>
        <w:r w:rsidR="00926A9B">
          <w:rPr>
            <w:noProof/>
            <w:webHidden/>
          </w:rPr>
          <w:tab/>
        </w:r>
        <w:r w:rsidR="00926A9B">
          <w:rPr>
            <w:noProof/>
            <w:webHidden/>
          </w:rPr>
          <w:fldChar w:fldCharType="begin"/>
        </w:r>
        <w:r w:rsidR="00926A9B">
          <w:rPr>
            <w:noProof/>
            <w:webHidden/>
          </w:rPr>
          <w:instrText xml:space="preserve"> PAGEREF _Toc149994750 \h </w:instrText>
        </w:r>
        <w:r w:rsidR="00926A9B">
          <w:rPr>
            <w:noProof/>
            <w:webHidden/>
          </w:rPr>
        </w:r>
        <w:r w:rsidR="00926A9B">
          <w:rPr>
            <w:noProof/>
            <w:webHidden/>
          </w:rPr>
          <w:fldChar w:fldCharType="separate"/>
        </w:r>
        <w:r w:rsidR="00926A9B">
          <w:rPr>
            <w:noProof/>
            <w:webHidden/>
          </w:rPr>
          <w:t>29</w:t>
        </w:r>
        <w:r w:rsidR="00926A9B">
          <w:rPr>
            <w:noProof/>
            <w:webHidden/>
          </w:rPr>
          <w:fldChar w:fldCharType="end"/>
        </w:r>
      </w:hyperlink>
    </w:p>
    <w:p w14:paraId="7E2854CA" w14:textId="7117B563"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51" w:history="1">
        <w:r w:rsidR="00926A9B" w:rsidRPr="00FF6A5E">
          <w:rPr>
            <w:rStyle w:val="Hipervnculo"/>
            <w:noProof/>
          </w:rPr>
          <w:t>3.4</w:t>
        </w:r>
        <w:r w:rsidR="00926A9B">
          <w:rPr>
            <w:rFonts w:eastAsiaTheme="minorEastAsia" w:cstheme="minorBidi"/>
            <w:b w:val="0"/>
            <w:bCs w:val="0"/>
            <w:noProof/>
            <w:kern w:val="2"/>
            <w:lang w:val="es-CO"/>
            <w14:ligatures w14:val="standardContextual"/>
          </w:rPr>
          <w:tab/>
        </w:r>
        <w:r w:rsidR="00926A9B" w:rsidRPr="00FF6A5E">
          <w:rPr>
            <w:rStyle w:val="Hipervnculo"/>
            <w:noProof/>
          </w:rPr>
          <w:t>Diseño e implementación del modelo computacional</w:t>
        </w:r>
        <w:r w:rsidR="00926A9B">
          <w:rPr>
            <w:noProof/>
            <w:webHidden/>
          </w:rPr>
          <w:tab/>
        </w:r>
        <w:r w:rsidR="00926A9B">
          <w:rPr>
            <w:noProof/>
            <w:webHidden/>
          </w:rPr>
          <w:fldChar w:fldCharType="begin"/>
        </w:r>
        <w:r w:rsidR="00926A9B">
          <w:rPr>
            <w:noProof/>
            <w:webHidden/>
          </w:rPr>
          <w:instrText xml:space="preserve"> PAGEREF _Toc149994751 \h </w:instrText>
        </w:r>
        <w:r w:rsidR="00926A9B">
          <w:rPr>
            <w:noProof/>
            <w:webHidden/>
          </w:rPr>
        </w:r>
        <w:r w:rsidR="00926A9B">
          <w:rPr>
            <w:noProof/>
            <w:webHidden/>
          </w:rPr>
          <w:fldChar w:fldCharType="separate"/>
        </w:r>
        <w:r w:rsidR="00926A9B">
          <w:rPr>
            <w:noProof/>
            <w:webHidden/>
          </w:rPr>
          <w:t>29</w:t>
        </w:r>
        <w:r w:rsidR="00926A9B">
          <w:rPr>
            <w:noProof/>
            <w:webHidden/>
          </w:rPr>
          <w:fldChar w:fldCharType="end"/>
        </w:r>
      </w:hyperlink>
    </w:p>
    <w:p w14:paraId="6C49C8AF" w14:textId="49354163" w:rsidR="00926A9B" w:rsidRDefault="009F4F0D">
      <w:pPr>
        <w:pStyle w:val="TDC1"/>
        <w:rPr>
          <w:rFonts w:eastAsiaTheme="minorEastAsia" w:cstheme="minorBidi"/>
          <w:b w:val="0"/>
          <w:bCs w:val="0"/>
          <w:i w:val="0"/>
          <w:iCs w:val="0"/>
          <w:noProof/>
          <w:kern w:val="2"/>
          <w:sz w:val="22"/>
          <w:szCs w:val="22"/>
          <w:lang w:val="es-CO"/>
          <w14:ligatures w14:val="standardContextual"/>
        </w:rPr>
      </w:pPr>
      <w:hyperlink w:anchor="_Toc149994752" w:history="1">
        <w:r w:rsidR="00926A9B" w:rsidRPr="00FF6A5E">
          <w:rPr>
            <w:rStyle w:val="Hipervnculo"/>
            <w:noProof/>
          </w:rPr>
          <w:t>4</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rPr>
          <w:t>Presentación y discusión de resultados</w:t>
        </w:r>
        <w:r w:rsidR="00926A9B">
          <w:rPr>
            <w:noProof/>
            <w:webHidden/>
          </w:rPr>
          <w:tab/>
        </w:r>
        <w:r w:rsidR="00926A9B">
          <w:rPr>
            <w:noProof/>
            <w:webHidden/>
          </w:rPr>
          <w:fldChar w:fldCharType="begin"/>
        </w:r>
        <w:r w:rsidR="00926A9B">
          <w:rPr>
            <w:noProof/>
            <w:webHidden/>
          </w:rPr>
          <w:instrText xml:space="preserve"> PAGEREF _Toc149994752 \h </w:instrText>
        </w:r>
        <w:r w:rsidR="00926A9B">
          <w:rPr>
            <w:noProof/>
            <w:webHidden/>
          </w:rPr>
        </w:r>
        <w:r w:rsidR="00926A9B">
          <w:rPr>
            <w:noProof/>
            <w:webHidden/>
          </w:rPr>
          <w:fldChar w:fldCharType="separate"/>
        </w:r>
        <w:r w:rsidR="00926A9B">
          <w:rPr>
            <w:noProof/>
            <w:webHidden/>
          </w:rPr>
          <w:t>32</w:t>
        </w:r>
        <w:r w:rsidR="00926A9B">
          <w:rPr>
            <w:noProof/>
            <w:webHidden/>
          </w:rPr>
          <w:fldChar w:fldCharType="end"/>
        </w:r>
      </w:hyperlink>
    </w:p>
    <w:p w14:paraId="65A4D2CA" w14:textId="26D34B66" w:rsidR="00926A9B" w:rsidRDefault="009F4F0D">
      <w:pPr>
        <w:pStyle w:val="TDC2"/>
        <w:tabs>
          <w:tab w:val="left" w:pos="1200"/>
          <w:tab w:val="right" w:leader="dot" w:pos="9396"/>
        </w:tabs>
        <w:rPr>
          <w:rFonts w:eastAsiaTheme="minorEastAsia" w:cstheme="minorBidi"/>
          <w:b w:val="0"/>
          <w:bCs w:val="0"/>
          <w:noProof/>
          <w:kern w:val="2"/>
          <w:lang w:val="es-CO"/>
          <w14:ligatures w14:val="standardContextual"/>
        </w:rPr>
      </w:pPr>
      <w:hyperlink w:anchor="_Toc149994753" w:history="1">
        <w:r w:rsidR="00926A9B" w:rsidRPr="00FF6A5E">
          <w:rPr>
            <w:rStyle w:val="Hipervnculo"/>
            <w:noProof/>
          </w:rPr>
          <w:t>4.1</w:t>
        </w:r>
        <w:r w:rsidR="00926A9B">
          <w:rPr>
            <w:rFonts w:eastAsiaTheme="minorEastAsia" w:cstheme="minorBidi"/>
            <w:b w:val="0"/>
            <w:bCs w:val="0"/>
            <w:noProof/>
            <w:kern w:val="2"/>
            <w:lang w:val="es-CO"/>
            <w14:ligatures w14:val="standardContextual"/>
          </w:rPr>
          <w:tab/>
        </w:r>
        <w:r w:rsidR="00926A9B" w:rsidRPr="00FF6A5E">
          <w:rPr>
            <w:rStyle w:val="Hipervnculo"/>
            <w:noProof/>
          </w:rPr>
          <w:t>Identificación de variables</w:t>
        </w:r>
        <w:r w:rsidR="00926A9B">
          <w:rPr>
            <w:noProof/>
            <w:webHidden/>
          </w:rPr>
          <w:tab/>
        </w:r>
        <w:r w:rsidR="00926A9B">
          <w:rPr>
            <w:noProof/>
            <w:webHidden/>
          </w:rPr>
          <w:fldChar w:fldCharType="begin"/>
        </w:r>
        <w:r w:rsidR="00926A9B">
          <w:rPr>
            <w:noProof/>
            <w:webHidden/>
          </w:rPr>
          <w:instrText xml:space="preserve"> PAGEREF _Toc149994753 \h </w:instrText>
        </w:r>
        <w:r w:rsidR="00926A9B">
          <w:rPr>
            <w:noProof/>
            <w:webHidden/>
          </w:rPr>
        </w:r>
        <w:r w:rsidR="00926A9B">
          <w:rPr>
            <w:noProof/>
            <w:webHidden/>
          </w:rPr>
          <w:fldChar w:fldCharType="separate"/>
        </w:r>
        <w:r w:rsidR="00926A9B">
          <w:rPr>
            <w:noProof/>
            <w:webHidden/>
          </w:rPr>
          <w:t>32</w:t>
        </w:r>
        <w:r w:rsidR="00926A9B">
          <w:rPr>
            <w:noProof/>
            <w:webHidden/>
          </w:rPr>
          <w:fldChar w:fldCharType="end"/>
        </w:r>
      </w:hyperlink>
    </w:p>
    <w:p w14:paraId="7F377AE7" w14:textId="3E5C2384"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4" w:history="1">
        <w:r w:rsidR="00926A9B" w:rsidRPr="00FF6A5E">
          <w:rPr>
            <w:rStyle w:val="Hipervnculo"/>
            <w:noProof/>
          </w:rPr>
          <w:t>4.1.1</w:t>
        </w:r>
        <w:r w:rsidR="00926A9B">
          <w:rPr>
            <w:rFonts w:eastAsiaTheme="minorEastAsia" w:cstheme="minorBidi"/>
            <w:noProof/>
            <w:kern w:val="2"/>
            <w:sz w:val="22"/>
            <w:szCs w:val="22"/>
            <w:lang w:val="es-CO"/>
            <w14:ligatures w14:val="standardContextual"/>
          </w:rPr>
          <w:tab/>
        </w:r>
        <w:r w:rsidR="00926A9B" w:rsidRPr="00FF6A5E">
          <w:rPr>
            <w:rStyle w:val="Hipervnculo"/>
            <w:noProof/>
          </w:rPr>
          <w:t>Clasificación de variables</w:t>
        </w:r>
        <w:r w:rsidR="00926A9B">
          <w:rPr>
            <w:noProof/>
            <w:webHidden/>
          </w:rPr>
          <w:tab/>
        </w:r>
        <w:r w:rsidR="00926A9B">
          <w:rPr>
            <w:noProof/>
            <w:webHidden/>
          </w:rPr>
          <w:fldChar w:fldCharType="begin"/>
        </w:r>
        <w:r w:rsidR="00926A9B">
          <w:rPr>
            <w:noProof/>
            <w:webHidden/>
          </w:rPr>
          <w:instrText xml:space="preserve"> PAGEREF _Toc149994754 \h </w:instrText>
        </w:r>
        <w:r w:rsidR="00926A9B">
          <w:rPr>
            <w:noProof/>
            <w:webHidden/>
          </w:rPr>
        </w:r>
        <w:r w:rsidR="00926A9B">
          <w:rPr>
            <w:noProof/>
            <w:webHidden/>
          </w:rPr>
          <w:fldChar w:fldCharType="separate"/>
        </w:r>
        <w:r w:rsidR="00926A9B">
          <w:rPr>
            <w:noProof/>
            <w:webHidden/>
          </w:rPr>
          <w:t>32</w:t>
        </w:r>
        <w:r w:rsidR="00926A9B">
          <w:rPr>
            <w:noProof/>
            <w:webHidden/>
          </w:rPr>
          <w:fldChar w:fldCharType="end"/>
        </w:r>
      </w:hyperlink>
    </w:p>
    <w:p w14:paraId="0E72E2DD" w14:textId="69813AA9"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5" w:history="1">
        <w:r w:rsidR="00926A9B" w:rsidRPr="00FF6A5E">
          <w:rPr>
            <w:rStyle w:val="Hipervnculo"/>
            <w:noProof/>
          </w:rPr>
          <w:t>4.1.2</w:t>
        </w:r>
        <w:r w:rsidR="00926A9B">
          <w:rPr>
            <w:rFonts w:eastAsiaTheme="minorEastAsia" w:cstheme="minorBidi"/>
            <w:noProof/>
            <w:kern w:val="2"/>
            <w:sz w:val="22"/>
            <w:szCs w:val="22"/>
            <w:lang w:val="es-CO"/>
            <w14:ligatures w14:val="standardContextual"/>
          </w:rPr>
          <w:tab/>
        </w:r>
        <w:r w:rsidR="00926A9B" w:rsidRPr="00FF6A5E">
          <w:rPr>
            <w:rStyle w:val="Hipervnculo"/>
            <w:noProof/>
          </w:rPr>
          <w:t>Identificación de variables</w:t>
        </w:r>
        <w:r w:rsidR="00926A9B">
          <w:rPr>
            <w:noProof/>
            <w:webHidden/>
          </w:rPr>
          <w:tab/>
        </w:r>
        <w:r w:rsidR="00926A9B">
          <w:rPr>
            <w:noProof/>
            <w:webHidden/>
          </w:rPr>
          <w:fldChar w:fldCharType="begin"/>
        </w:r>
        <w:r w:rsidR="00926A9B">
          <w:rPr>
            <w:noProof/>
            <w:webHidden/>
          </w:rPr>
          <w:instrText xml:space="preserve"> PAGEREF _Toc149994755 \h </w:instrText>
        </w:r>
        <w:r w:rsidR="00926A9B">
          <w:rPr>
            <w:noProof/>
            <w:webHidden/>
          </w:rPr>
        </w:r>
        <w:r w:rsidR="00926A9B">
          <w:rPr>
            <w:noProof/>
            <w:webHidden/>
          </w:rPr>
          <w:fldChar w:fldCharType="separate"/>
        </w:r>
        <w:r w:rsidR="00926A9B">
          <w:rPr>
            <w:noProof/>
            <w:webHidden/>
          </w:rPr>
          <w:t>33</w:t>
        </w:r>
        <w:r w:rsidR="00926A9B">
          <w:rPr>
            <w:noProof/>
            <w:webHidden/>
          </w:rPr>
          <w:fldChar w:fldCharType="end"/>
        </w:r>
      </w:hyperlink>
    </w:p>
    <w:p w14:paraId="6875DDF9" w14:textId="3D59C5DC"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6" w:history="1">
        <w:r w:rsidR="00926A9B" w:rsidRPr="00FF6A5E">
          <w:rPr>
            <w:rStyle w:val="Hipervnculo"/>
            <w:noProof/>
          </w:rPr>
          <w:t>4.1.3</w:t>
        </w:r>
        <w:r w:rsidR="00926A9B">
          <w:rPr>
            <w:rFonts w:eastAsiaTheme="minorEastAsia" w:cstheme="minorBidi"/>
            <w:noProof/>
            <w:kern w:val="2"/>
            <w:sz w:val="22"/>
            <w:szCs w:val="22"/>
            <w:lang w:val="es-CO"/>
            <w14:ligatures w14:val="standardContextual"/>
          </w:rPr>
          <w:tab/>
        </w:r>
        <w:r w:rsidR="00926A9B" w:rsidRPr="00FF6A5E">
          <w:rPr>
            <w:rStyle w:val="Hipervnculo"/>
            <w:noProof/>
          </w:rPr>
          <w:t>Selección de variables</w:t>
        </w:r>
        <w:r w:rsidR="00926A9B">
          <w:rPr>
            <w:noProof/>
            <w:webHidden/>
          </w:rPr>
          <w:tab/>
        </w:r>
        <w:r w:rsidR="00926A9B">
          <w:rPr>
            <w:noProof/>
            <w:webHidden/>
          </w:rPr>
          <w:fldChar w:fldCharType="begin"/>
        </w:r>
        <w:r w:rsidR="00926A9B">
          <w:rPr>
            <w:noProof/>
            <w:webHidden/>
          </w:rPr>
          <w:instrText xml:space="preserve"> PAGEREF _Toc149994756 \h </w:instrText>
        </w:r>
        <w:r w:rsidR="00926A9B">
          <w:rPr>
            <w:noProof/>
            <w:webHidden/>
          </w:rPr>
        </w:r>
        <w:r w:rsidR="00926A9B">
          <w:rPr>
            <w:noProof/>
            <w:webHidden/>
          </w:rPr>
          <w:fldChar w:fldCharType="separate"/>
        </w:r>
        <w:r w:rsidR="00926A9B">
          <w:rPr>
            <w:noProof/>
            <w:webHidden/>
          </w:rPr>
          <w:t>34</w:t>
        </w:r>
        <w:r w:rsidR="00926A9B">
          <w:rPr>
            <w:noProof/>
            <w:webHidden/>
          </w:rPr>
          <w:fldChar w:fldCharType="end"/>
        </w:r>
      </w:hyperlink>
    </w:p>
    <w:p w14:paraId="0CD18150" w14:textId="569D343A"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7" w:history="1">
        <w:r w:rsidR="00926A9B" w:rsidRPr="00FF6A5E">
          <w:rPr>
            <w:rStyle w:val="Hipervnculo"/>
            <w:noProof/>
            <w:lang w:val="es-CO"/>
          </w:rPr>
          <w:t>4.1.4</w:t>
        </w:r>
        <w:r w:rsidR="00926A9B">
          <w:rPr>
            <w:rFonts w:eastAsiaTheme="minorEastAsia" w:cstheme="minorBidi"/>
            <w:noProof/>
            <w:kern w:val="2"/>
            <w:sz w:val="22"/>
            <w:szCs w:val="22"/>
            <w:lang w:val="es-CO"/>
            <w14:ligatures w14:val="standardContextual"/>
          </w:rPr>
          <w:tab/>
        </w:r>
        <w:r w:rsidR="00926A9B" w:rsidRPr="00FF6A5E">
          <w:rPr>
            <w:rStyle w:val="Hipervnculo"/>
            <w:noProof/>
            <w:lang w:val="es-CO"/>
          </w:rPr>
          <w:t>Selección de criterios</w:t>
        </w:r>
        <w:r w:rsidR="00926A9B">
          <w:rPr>
            <w:noProof/>
            <w:webHidden/>
          </w:rPr>
          <w:tab/>
        </w:r>
        <w:r w:rsidR="00926A9B">
          <w:rPr>
            <w:noProof/>
            <w:webHidden/>
          </w:rPr>
          <w:fldChar w:fldCharType="begin"/>
        </w:r>
        <w:r w:rsidR="00926A9B">
          <w:rPr>
            <w:noProof/>
            <w:webHidden/>
          </w:rPr>
          <w:instrText xml:space="preserve"> PAGEREF _Toc149994757 \h </w:instrText>
        </w:r>
        <w:r w:rsidR="00926A9B">
          <w:rPr>
            <w:noProof/>
            <w:webHidden/>
          </w:rPr>
        </w:r>
        <w:r w:rsidR="00926A9B">
          <w:rPr>
            <w:noProof/>
            <w:webHidden/>
          </w:rPr>
          <w:fldChar w:fldCharType="separate"/>
        </w:r>
        <w:r w:rsidR="00926A9B">
          <w:rPr>
            <w:noProof/>
            <w:webHidden/>
          </w:rPr>
          <w:t>38</w:t>
        </w:r>
        <w:r w:rsidR="00926A9B">
          <w:rPr>
            <w:noProof/>
            <w:webHidden/>
          </w:rPr>
          <w:fldChar w:fldCharType="end"/>
        </w:r>
      </w:hyperlink>
    </w:p>
    <w:p w14:paraId="5C5A8419" w14:textId="76040C05"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8" w:history="1">
        <w:r w:rsidR="00926A9B" w:rsidRPr="00FF6A5E">
          <w:rPr>
            <w:rStyle w:val="Hipervnculo"/>
            <w:noProof/>
            <w:lang w:val="es-CO"/>
          </w:rPr>
          <w:t>4.1.5</w:t>
        </w:r>
        <w:r w:rsidR="00926A9B">
          <w:rPr>
            <w:rFonts w:eastAsiaTheme="minorEastAsia" w:cstheme="minorBidi"/>
            <w:noProof/>
            <w:kern w:val="2"/>
            <w:sz w:val="22"/>
            <w:szCs w:val="22"/>
            <w:lang w:val="es-CO"/>
            <w14:ligatures w14:val="standardContextual"/>
          </w:rPr>
          <w:tab/>
        </w:r>
        <w:r w:rsidR="00926A9B" w:rsidRPr="00FF6A5E">
          <w:rPr>
            <w:rStyle w:val="Hipervnculo"/>
            <w:noProof/>
            <w:lang w:val="es-CO"/>
          </w:rPr>
          <w:t>Validación de expertos</w:t>
        </w:r>
        <w:r w:rsidR="00926A9B">
          <w:rPr>
            <w:noProof/>
            <w:webHidden/>
          </w:rPr>
          <w:tab/>
        </w:r>
        <w:r w:rsidR="00926A9B">
          <w:rPr>
            <w:noProof/>
            <w:webHidden/>
          </w:rPr>
          <w:fldChar w:fldCharType="begin"/>
        </w:r>
        <w:r w:rsidR="00926A9B">
          <w:rPr>
            <w:noProof/>
            <w:webHidden/>
          </w:rPr>
          <w:instrText xml:space="preserve"> PAGEREF _Toc149994758 \h </w:instrText>
        </w:r>
        <w:r w:rsidR="00926A9B">
          <w:rPr>
            <w:noProof/>
            <w:webHidden/>
          </w:rPr>
        </w:r>
        <w:r w:rsidR="00926A9B">
          <w:rPr>
            <w:noProof/>
            <w:webHidden/>
          </w:rPr>
          <w:fldChar w:fldCharType="separate"/>
        </w:r>
        <w:r w:rsidR="00926A9B">
          <w:rPr>
            <w:noProof/>
            <w:webHidden/>
          </w:rPr>
          <w:t>39</w:t>
        </w:r>
        <w:r w:rsidR="00926A9B">
          <w:rPr>
            <w:noProof/>
            <w:webHidden/>
          </w:rPr>
          <w:fldChar w:fldCharType="end"/>
        </w:r>
      </w:hyperlink>
    </w:p>
    <w:p w14:paraId="178A891A" w14:textId="2377CB10"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59" w:history="1">
        <w:r w:rsidR="00926A9B" w:rsidRPr="00FF6A5E">
          <w:rPr>
            <w:rStyle w:val="Hipervnculo"/>
            <w:noProof/>
            <w:lang w:val="es-CO"/>
          </w:rPr>
          <w:t>4.1.6</w:t>
        </w:r>
        <w:r w:rsidR="00926A9B">
          <w:rPr>
            <w:rFonts w:eastAsiaTheme="minorEastAsia" w:cstheme="minorBidi"/>
            <w:noProof/>
            <w:kern w:val="2"/>
            <w:sz w:val="22"/>
            <w:szCs w:val="22"/>
            <w:lang w:val="es-CO"/>
            <w14:ligatures w14:val="standardContextual"/>
          </w:rPr>
          <w:tab/>
        </w:r>
        <w:r w:rsidR="00926A9B" w:rsidRPr="00FF6A5E">
          <w:rPr>
            <w:rStyle w:val="Hipervnculo"/>
            <w:noProof/>
            <w:lang w:val="es-CO"/>
          </w:rPr>
          <w:t>Análisis de rendimiento de riesgos climáticos a través de TOPSIS</w:t>
        </w:r>
        <w:r w:rsidR="00926A9B">
          <w:rPr>
            <w:noProof/>
            <w:webHidden/>
          </w:rPr>
          <w:tab/>
        </w:r>
        <w:r w:rsidR="00926A9B">
          <w:rPr>
            <w:noProof/>
            <w:webHidden/>
          </w:rPr>
          <w:fldChar w:fldCharType="begin"/>
        </w:r>
        <w:r w:rsidR="00926A9B">
          <w:rPr>
            <w:noProof/>
            <w:webHidden/>
          </w:rPr>
          <w:instrText xml:space="preserve"> PAGEREF _Toc149994759 \h </w:instrText>
        </w:r>
        <w:r w:rsidR="00926A9B">
          <w:rPr>
            <w:noProof/>
            <w:webHidden/>
          </w:rPr>
        </w:r>
        <w:r w:rsidR="00926A9B">
          <w:rPr>
            <w:noProof/>
            <w:webHidden/>
          </w:rPr>
          <w:fldChar w:fldCharType="separate"/>
        </w:r>
        <w:r w:rsidR="00926A9B">
          <w:rPr>
            <w:noProof/>
            <w:webHidden/>
          </w:rPr>
          <w:t>40</w:t>
        </w:r>
        <w:r w:rsidR="00926A9B">
          <w:rPr>
            <w:noProof/>
            <w:webHidden/>
          </w:rPr>
          <w:fldChar w:fldCharType="end"/>
        </w:r>
      </w:hyperlink>
    </w:p>
    <w:p w14:paraId="38BA7201" w14:textId="18C66997" w:rsidR="00926A9B" w:rsidRDefault="009F4F0D">
      <w:pPr>
        <w:pStyle w:val="TDC3"/>
        <w:tabs>
          <w:tab w:val="left" w:pos="1440"/>
          <w:tab w:val="right" w:leader="dot" w:pos="9396"/>
        </w:tabs>
        <w:rPr>
          <w:rFonts w:eastAsiaTheme="minorEastAsia" w:cstheme="minorBidi"/>
          <w:noProof/>
          <w:kern w:val="2"/>
          <w:sz w:val="22"/>
          <w:szCs w:val="22"/>
          <w:lang w:val="es-CO"/>
          <w14:ligatures w14:val="standardContextual"/>
        </w:rPr>
      </w:pPr>
      <w:hyperlink w:anchor="_Toc149994760" w:history="1">
        <w:r w:rsidR="00926A9B" w:rsidRPr="00FF6A5E">
          <w:rPr>
            <w:rStyle w:val="Hipervnculo"/>
            <w:noProof/>
            <w:lang w:val="es-CO"/>
          </w:rPr>
          <w:t>4.1.7</w:t>
        </w:r>
        <w:r w:rsidR="00926A9B">
          <w:rPr>
            <w:rFonts w:eastAsiaTheme="minorEastAsia" w:cstheme="minorBidi"/>
            <w:noProof/>
            <w:kern w:val="2"/>
            <w:sz w:val="22"/>
            <w:szCs w:val="22"/>
            <w:lang w:val="es-CO"/>
            <w14:ligatures w14:val="standardContextual"/>
          </w:rPr>
          <w:tab/>
        </w:r>
        <w:r w:rsidR="00926A9B" w:rsidRPr="00FF6A5E">
          <w:rPr>
            <w:rStyle w:val="Hipervnculo"/>
            <w:noProof/>
            <w:lang w:val="es-CO"/>
          </w:rPr>
          <w:t>Construcción de modelo de lógica difusa</w:t>
        </w:r>
        <w:r w:rsidR="00926A9B">
          <w:rPr>
            <w:noProof/>
            <w:webHidden/>
          </w:rPr>
          <w:tab/>
        </w:r>
        <w:r w:rsidR="00926A9B">
          <w:rPr>
            <w:noProof/>
            <w:webHidden/>
          </w:rPr>
          <w:fldChar w:fldCharType="begin"/>
        </w:r>
        <w:r w:rsidR="00926A9B">
          <w:rPr>
            <w:noProof/>
            <w:webHidden/>
          </w:rPr>
          <w:instrText xml:space="preserve"> PAGEREF _Toc149994760 \h </w:instrText>
        </w:r>
        <w:r w:rsidR="00926A9B">
          <w:rPr>
            <w:noProof/>
            <w:webHidden/>
          </w:rPr>
        </w:r>
        <w:r w:rsidR="00926A9B">
          <w:rPr>
            <w:noProof/>
            <w:webHidden/>
          </w:rPr>
          <w:fldChar w:fldCharType="separate"/>
        </w:r>
        <w:r w:rsidR="00926A9B">
          <w:rPr>
            <w:noProof/>
            <w:webHidden/>
          </w:rPr>
          <w:t>43</w:t>
        </w:r>
        <w:r w:rsidR="00926A9B">
          <w:rPr>
            <w:noProof/>
            <w:webHidden/>
          </w:rPr>
          <w:fldChar w:fldCharType="end"/>
        </w:r>
      </w:hyperlink>
    </w:p>
    <w:p w14:paraId="63B455BF" w14:textId="17DCC96F" w:rsidR="00926A9B" w:rsidRDefault="009F4F0D">
      <w:pPr>
        <w:pStyle w:val="TDC1"/>
        <w:rPr>
          <w:rFonts w:eastAsiaTheme="minorEastAsia" w:cstheme="minorBidi"/>
          <w:b w:val="0"/>
          <w:bCs w:val="0"/>
          <w:i w:val="0"/>
          <w:iCs w:val="0"/>
          <w:noProof/>
          <w:kern w:val="2"/>
          <w:sz w:val="22"/>
          <w:szCs w:val="22"/>
          <w:lang w:val="es-CO"/>
          <w14:ligatures w14:val="standardContextual"/>
        </w:rPr>
      </w:pPr>
      <w:hyperlink w:anchor="_Toc149994761" w:history="1">
        <w:r w:rsidR="00926A9B" w:rsidRPr="00FF6A5E">
          <w:rPr>
            <w:rStyle w:val="Hipervnculo"/>
            <w:noProof/>
          </w:rPr>
          <w:t>5</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rPr>
          <w:t>Conclusiones y consideraciones finales</w:t>
        </w:r>
        <w:r w:rsidR="00926A9B">
          <w:rPr>
            <w:noProof/>
            <w:webHidden/>
          </w:rPr>
          <w:tab/>
        </w:r>
        <w:r w:rsidR="00926A9B">
          <w:rPr>
            <w:noProof/>
            <w:webHidden/>
          </w:rPr>
          <w:fldChar w:fldCharType="begin"/>
        </w:r>
        <w:r w:rsidR="00926A9B">
          <w:rPr>
            <w:noProof/>
            <w:webHidden/>
          </w:rPr>
          <w:instrText xml:space="preserve"> PAGEREF _Toc149994761 \h </w:instrText>
        </w:r>
        <w:r w:rsidR="00926A9B">
          <w:rPr>
            <w:noProof/>
            <w:webHidden/>
          </w:rPr>
        </w:r>
        <w:r w:rsidR="00926A9B">
          <w:rPr>
            <w:noProof/>
            <w:webHidden/>
          </w:rPr>
          <w:fldChar w:fldCharType="separate"/>
        </w:r>
        <w:r w:rsidR="00926A9B">
          <w:rPr>
            <w:noProof/>
            <w:webHidden/>
          </w:rPr>
          <w:t>51</w:t>
        </w:r>
        <w:r w:rsidR="00926A9B">
          <w:rPr>
            <w:noProof/>
            <w:webHidden/>
          </w:rPr>
          <w:fldChar w:fldCharType="end"/>
        </w:r>
      </w:hyperlink>
    </w:p>
    <w:p w14:paraId="184A61DF" w14:textId="4CDACCBD" w:rsidR="00926A9B" w:rsidRDefault="009F4F0D">
      <w:pPr>
        <w:pStyle w:val="TDC1"/>
        <w:rPr>
          <w:rFonts w:eastAsiaTheme="minorEastAsia" w:cstheme="minorBidi"/>
          <w:b w:val="0"/>
          <w:bCs w:val="0"/>
          <w:i w:val="0"/>
          <w:iCs w:val="0"/>
          <w:noProof/>
          <w:kern w:val="2"/>
          <w:sz w:val="22"/>
          <w:szCs w:val="22"/>
          <w:lang w:val="es-CO"/>
          <w14:ligatures w14:val="standardContextual"/>
        </w:rPr>
      </w:pPr>
      <w:hyperlink w:anchor="_Toc149994762" w:history="1">
        <w:r w:rsidR="00926A9B" w:rsidRPr="00FF6A5E">
          <w:rPr>
            <w:rStyle w:val="Hipervnculo"/>
            <w:noProof/>
            <w:lang w:val="es-CO"/>
          </w:rPr>
          <w:t>6</w:t>
        </w:r>
        <w:r w:rsidR="00926A9B">
          <w:rPr>
            <w:rFonts w:eastAsiaTheme="minorEastAsia" w:cstheme="minorBidi"/>
            <w:b w:val="0"/>
            <w:bCs w:val="0"/>
            <w:i w:val="0"/>
            <w:iCs w:val="0"/>
            <w:noProof/>
            <w:kern w:val="2"/>
            <w:sz w:val="22"/>
            <w:szCs w:val="22"/>
            <w:lang w:val="es-CO"/>
            <w14:ligatures w14:val="standardContextual"/>
          </w:rPr>
          <w:tab/>
        </w:r>
        <w:r w:rsidR="00926A9B" w:rsidRPr="00FF6A5E">
          <w:rPr>
            <w:rStyle w:val="Hipervnculo"/>
            <w:noProof/>
            <w:lang w:val="es-CO"/>
          </w:rPr>
          <w:t>Referencias</w:t>
        </w:r>
        <w:r w:rsidR="00926A9B">
          <w:rPr>
            <w:noProof/>
            <w:webHidden/>
          </w:rPr>
          <w:tab/>
        </w:r>
        <w:r w:rsidR="00926A9B">
          <w:rPr>
            <w:noProof/>
            <w:webHidden/>
          </w:rPr>
          <w:fldChar w:fldCharType="begin"/>
        </w:r>
        <w:r w:rsidR="00926A9B">
          <w:rPr>
            <w:noProof/>
            <w:webHidden/>
          </w:rPr>
          <w:instrText xml:space="preserve"> PAGEREF _Toc149994762 \h </w:instrText>
        </w:r>
        <w:r w:rsidR="00926A9B">
          <w:rPr>
            <w:noProof/>
            <w:webHidden/>
          </w:rPr>
        </w:r>
        <w:r w:rsidR="00926A9B">
          <w:rPr>
            <w:noProof/>
            <w:webHidden/>
          </w:rPr>
          <w:fldChar w:fldCharType="separate"/>
        </w:r>
        <w:r w:rsidR="00926A9B">
          <w:rPr>
            <w:noProof/>
            <w:webHidden/>
          </w:rPr>
          <w:t>55</w:t>
        </w:r>
        <w:r w:rsidR="00926A9B">
          <w:rPr>
            <w:noProof/>
            <w:webHidden/>
          </w:rPr>
          <w:fldChar w:fldCharType="end"/>
        </w:r>
      </w:hyperlink>
    </w:p>
    <w:p w14:paraId="6F9553EC" w14:textId="1B258535" w:rsidR="00FC2D70" w:rsidRDefault="00FC2D70" w:rsidP="008E1951">
      <w:pPr>
        <w:spacing w:before="0" w:line="360" w:lineRule="auto"/>
      </w:pPr>
      <w:r>
        <w:fldChar w:fldCharType="end"/>
      </w:r>
    </w:p>
    <w:p w14:paraId="4EC16EFB" w14:textId="77777777" w:rsidR="00E41977" w:rsidRDefault="00E41977" w:rsidP="00E41977">
      <w:pPr>
        <w:rPr>
          <w:i/>
          <w:caps/>
          <w:smallCaps/>
          <w:szCs w:val="22"/>
        </w:rPr>
      </w:pPr>
    </w:p>
    <w:p w14:paraId="6DCB82E6" w14:textId="77777777" w:rsidR="00E41977" w:rsidRDefault="00E41977" w:rsidP="00E41977">
      <w:pPr>
        <w:pStyle w:val="TituloPortadas"/>
      </w:pPr>
      <w:r>
        <w:br w:type="page"/>
      </w:r>
      <w:r>
        <w:lastRenderedPageBreak/>
        <w:t>lista de tablas</w:t>
      </w:r>
    </w:p>
    <w:p w14:paraId="14B16475" w14:textId="1DAECF97" w:rsidR="00445317" w:rsidRDefault="004D533A">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r>
        <w:fldChar w:fldCharType="begin"/>
      </w:r>
      <w:r>
        <w:instrText xml:space="preserve"> TOC \h \z \c "Tabla" </w:instrText>
      </w:r>
      <w:r>
        <w:fldChar w:fldCharType="separate"/>
      </w:r>
      <w:hyperlink w:anchor="_Toc134470840" w:history="1">
        <w:r w:rsidR="00445317" w:rsidRPr="00D279C5">
          <w:rPr>
            <w:rStyle w:val="Hipervnculo"/>
            <w:noProof/>
          </w:rPr>
          <w:t xml:space="preserve">Tabla 1. Tabla ejemplo de pesos por variable y por criterio. </w:t>
        </w:r>
        <w:r w:rsidR="00445317">
          <w:rPr>
            <w:noProof/>
            <w:webHidden/>
          </w:rPr>
          <w:tab/>
        </w:r>
        <w:r w:rsidR="00445317">
          <w:rPr>
            <w:noProof/>
            <w:webHidden/>
          </w:rPr>
          <w:fldChar w:fldCharType="begin"/>
        </w:r>
        <w:r w:rsidR="00445317">
          <w:rPr>
            <w:noProof/>
            <w:webHidden/>
          </w:rPr>
          <w:instrText xml:space="preserve"> PAGEREF _Toc134470840 \h </w:instrText>
        </w:r>
        <w:r w:rsidR="00445317">
          <w:rPr>
            <w:noProof/>
            <w:webHidden/>
          </w:rPr>
        </w:r>
        <w:r w:rsidR="00445317">
          <w:rPr>
            <w:noProof/>
            <w:webHidden/>
          </w:rPr>
          <w:fldChar w:fldCharType="separate"/>
        </w:r>
        <w:r w:rsidR="00036BF0">
          <w:rPr>
            <w:noProof/>
            <w:webHidden/>
          </w:rPr>
          <w:t>23</w:t>
        </w:r>
        <w:r w:rsidR="00445317">
          <w:rPr>
            <w:noProof/>
            <w:webHidden/>
          </w:rPr>
          <w:fldChar w:fldCharType="end"/>
        </w:r>
      </w:hyperlink>
    </w:p>
    <w:p w14:paraId="74678902" w14:textId="36200E5C"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41" w:history="1">
        <w:r w:rsidR="00445317" w:rsidRPr="00D279C5">
          <w:rPr>
            <w:rStyle w:val="Hipervnculo"/>
            <w:noProof/>
          </w:rPr>
          <w:t xml:space="preserve">Tabla 2. Variables seleccionadas para investigación. </w:t>
        </w:r>
        <w:r w:rsidR="00445317">
          <w:rPr>
            <w:noProof/>
            <w:webHidden/>
          </w:rPr>
          <w:tab/>
        </w:r>
        <w:r w:rsidR="00445317">
          <w:rPr>
            <w:noProof/>
            <w:webHidden/>
          </w:rPr>
          <w:fldChar w:fldCharType="begin"/>
        </w:r>
        <w:r w:rsidR="00445317">
          <w:rPr>
            <w:noProof/>
            <w:webHidden/>
          </w:rPr>
          <w:instrText xml:space="preserve"> PAGEREF _Toc134470841 \h </w:instrText>
        </w:r>
        <w:r w:rsidR="00445317">
          <w:rPr>
            <w:noProof/>
            <w:webHidden/>
          </w:rPr>
        </w:r>
        <w:r w:rsidR="00445317">
          <w:rPr>
            <w:noProof/>
            <w:webHidden/>
          </w:rPr>
          <w:fldChar w:fldCharType="separate"/>
        </w:r>
        <w:r w:rsidR="00036BF0">
          <w:rPr>
            <w:noProof/>
            <w:webHidden/>
          </w:rPr>
          <w:t>34</w:t>
        </w:r>
        <w:r w:rsidR="00445317">
          <w:rPr>
            <w:noProof/>
            <w:webHidden/>
          </w:rPr>
          <w:fldChar w:fldCharType="end"/>
        </w:r>
      </w:hyperlink>
    </w:p>
    <w:p w14:paraId="43000DE2" w14:textId="06D3C10F"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42" w:history="1">
        <w:r w:rsidR="00445317" w:rsidRPr="00D279C5">
          <w:rPr>
            <w:rStyle w:val="Hipervnculo"/>
            <w:noProof/>
            <w:lang w:eastAsia="es-ES_tradnl"/>
          </w:rPr>
          <w:t>Tabla 3. Tabla de pesos de criterios.</w:t>
        </w:r>
        <w:r w:rsidR="00445317">
          <w:rPr>
            <w:noProof/>
            <w:webHidden/>
          </w:rPr>
          <w:tab/>
        </w:r>
        <w:r w:rsidR="00445317">
          <w:rPr>
            <w:noProof/>
            <w:webHidden/>
          </w:rPr>
          <w:fldChar w:fldCharType="begin"/>
        </w:r>
        <w:r w:rsidR="00445317">
          <w:rPr>
            <w:noProof/>
            <w:webHidden/>
          </w:rPr>
          <w:instrText xml:space="preserve"> PAGEREF _Toc134470842 \h </w:instrText>
        </w:r>
        <w:r w:rsidR="00445317">
          <w:rPr>
            <w:noProof/>
            <w:webHidden/>
          </w:rPr>
        </w:r>
        <w:r w:rsidR="00445317">
          <w:rPr>
            <w:noProof/>
            <w:webHidden/>
          </w:rPr>
          <w:fldChar w:fldCharType="separate"/>
        </w:r>
        <w:r w:rsidR="00036BF0">
          <w:rPr>
            <w:noProof/>
            <w:webHidden/>
          </w:rPr>
          <w:t>38</w:t>
        </w:r>
        <w:r w:rsidR="00445317">
          <w:rPr>
            <w:noProof/>
            <w:webHidden/>
          </w:rPr>
          <w:fldChar w:fldCharType="end"/>
        </w:r>
      </w:hyperlink>
    </w:p>
    <w:p w14:paraId="74217030" w14:textId="0E45C700"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43" w:history="1">
        <w:r w:rsidR="00445317" w:rsidRPr="00D279C5">
          <w:rPr>
            <w:rStyle w:val="Hipervnculo"/>
            <w:noProof/>
            <w:lang w:eastAsia="es-ES_tradnl"/>
          </w:rPr>
          <w:t>Tabla 4. Tabla de Resultados Bajo Metodología TOPSIS.</w:t>
        </w:r>
        <w:r w:rsidR="00445317">
          <w:rPr>
            <w:noProof/>
            <w:webHidden/>
          </w:rPr>
          <w:tab/>
        </w:r>
        <w:r w:rsidR="00445317">
          <w:rPr>
            <w:noProof/>
            <w:webHidden/>
          </w:rPr>
          <w:fldChar w:fldCharType="begin"/>
        </w:r>
        <w:r w:rsidR="00445317">
          <w:rPr>
            <w:noProof/>
            <w:webHidden/>
          </w:rPr>
          <w:instrText xml:space="preserve"> PAGEREF _Toc134470843 \h </w:instrText>
        </w:r>
        <w:r w:rsidR="00445317">
          <w:rPr>
            <w:noProof/>
            <w:webHidden/>
          </w:rPr>
        </w:r>
        <w:r w:rsidR="00445317">
          <w:rPr>
            <w:noProof/>
            <w:webHidden/>
          </w:rPr>
          <w:fldChar w:fldCharType="separate"/>
        </w:r>
        <w:r w:rsidR="00036BF0">
          <w:rPr>
            <w:noProof/>
            <w:webHidden/>
          </w:rPr>
          <w:t>39</w:t>
        </w:r>
        <w:r w:rsidR="00445317">
          <w:rPr>
            <w:noProof/>
            <w:webHidden/>
          </w:rPr>
          <w:fldChar w:fldCharType="end"/>
        </w:r>
      </w:hyperlink>
    </w:p>
    <w:p w14:paraId="41D9E084" w14:textId="01439FDB"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44" w:history="1">
        <w:r w:rsidR="00445317" w:rsidRPr="00D279C5">
          <w:rPr>
            <w:rStyle w:val="Hipervnculo"/>
            <w:noProof/>
            <w:lang w:eastAsia="es-ES_tradnl"/>
          </w:rPr>
          <w:t>Tabla 5. Conjunto de reglas difusas.</w:t>
        </w:r>
        <w:r w:rsidR="00445317">
          <w:rPr>
            <w:noProof/>
            <w:webHidden/>
          </w:rPr>
          <w:tab/>
        </w:r>
        <w:r w:rsidR="00445317">
          <w:rPr>
            <w:noProof/>
            <w:webHidden/>
          </w:rPr>
          <w:fldChar w:fldCharType="begin"/>
        </w:r>
        <w:r w:rsidR="00445317">
          <w:rPr>
            <w:noProof/>
            <w:webHidden/>
          </w:rPr>
          <w:instrText xml:space="preserve"> PAGEREF _Toc134470844 \h </w:instrText>
        </w:r>
        <w:r w:rsidR="00445317">
          <w:rPr>
            <w:noProof/>
            <w:webHidden/>
          </w:rPr>
        </w:r>
        <w:r w:rsidR="00445317">
          <w:rPr>
            <w:noProof/>
            <w:webHidden/>
          </w:rPr>
          <w:fldChar w:fldCharType="separate"/>
        </w:r>
        <w:r w:rsidR="00036BF0">
          <w:rPr>
            <w:noProof/>
            <w:webHidden/>
          </w:rPr>
          <w:t>42</w:t>
        </w:r>
        <w:r w:rsidR="00445317">
          <w:rPr>
            <w:noProof/>
            <w:webHidden/>
          </w:rPr>
          <w:fldChar w:fldCharType="end"/>
        </w:r>
      </w:hyperlink>
    </w:p>
    <w:p w14:paraId="5E870430" w14:textId="1A584CE8"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45" w:history="1">
        <w:r w:rsidR="00445317" w:rsidRPr="00D279C5">
          <w:rPr>
            <w:rStyle w:val="Hipervnculo"/>
            <w:noProof/>
            <w:lang w:eastAsia="es-ES_tradnl"/>
          </w:rPr>
          <w:t>Tabla 6. Valores nítidos de los riesgos.</w:t>
        </w:r>
        <w:r w:rsidR="00445317">
          <w:rPr>
            <w:noProof/>
            <w:webHidden/>
          </w:rPr>
          <w:tab/>
        </w:r>
        <w:r w:rsidR="00445317">
          <w:rPr>
            <w:noProof/>
            <w:webHidden/>
          </w:rPr>
          <w:fldChar w:fldCharType="begin"/>
        </w:r>
        <w:r w:rsidR="00445317">
          <w:rPr>
            <w:noProof/>
            <w:webHidden/>
          </w:rPr>
          <w:instrText xml:space="preserve"> PAGEREF _Toc134470845 \h </w:instrText>
        </w:r>
        <w:r w:rsidR="00445317">
          <w:rPr>
            <w:noProof/>
            <w:webHidden/>
          </w:rPr>
        </w:r>
        <w:r w:rsidR="00445317">
          <w:rPr>
            <w:noProof/>
            <w:webHidden/>
          </w:rPr>
          <w:fldChar w:fldCharType="separate"/>
        </w:r>
        <w:r w:rsidR="00036BF0">
          <w:rPr>
            <w:noProof/>
            <w:webHidden/>
          </w:rPr>
          <w:t>43</w:t>
        </w:r>
        <w:r w:rsidR="00445317">
          <w:rPr>
            <w:noProof/>
            <w:webHidden/>
          </w:rPr>
          <w:fldChar w:fldCharType="end"/>
        </w:r>
      </w:hyperlink>
    </w:p>
    <w:p w14:paraId="3369AB17" w14:textId="7CB89647" w:rsidR="00E41977" w:rsidRPr="005A45F6" w:rsidRDefault="004D533A" w:rsidP="00E41977">
      <w:pPr>
        <w:pStyle w:val="TituloPortadas"/>
      </w:pPr>
      <w:r>
        <w:fldChar w:fldCharType="end"/>
      </w:r>
    </w:p>
    <w:p w14:paraId="4F5647AA" w14:textId="77777777" w:rsidR="00E41977" w:rsidRDefault="00E41977" w:rsidP="00E41977">
      <w:pPr>
        <w:jc w:val="right"/>
      </w:pPr>
    </w:p>
    <w:p w14:paraId="3C083646" w14:textId="77777777" w:rsidR="00E41977" w:rsidRDefault="00E41977" w:rsidP="00E41977"/>
    <w:p w14:paraId="2216FC64" w14:textId="77777777" w:rsidR="00E41977" w:rsidRDefault="00E41977" w:rsidP="00E41977">
      <w:pPr>
        <w:pStyle w:val="TituloPortadas"/>
      </w:pPr>
      <w:r>
        <w:br w:type="page"/>
      </w:r>
      <w:r>
        <w:lastRenderedPageBreak/>
        <w:t>lista de figuras</w:t>
      </w:r>
    </w:p>
    <w:p w14:paraId="5344F435" w14:textId="465B38C3" w:rsidR="00445317" w:rsidRDefault="004D533A">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r>
        <w:fldChar w:fldCharType="begin"/>
      </w:r>
      <w:r>
        <w:instrText xml:space="preserve"> TOC \h \z \c "Figura" </w:instrText>
      </w:r>
      <w:r>
        <w:fldChar w:fldCharType="separate"/>
      </w:r>
      <w:hyperlink w:anchor="_Toc134470861" w:history="1">
        <w:r w:rsidR="00445317" w:rsidRPr="0061062C">
          <w:rPr>
            <w:rStyle w:val="Hipervnculo"/>
            <w:noProof/>
          </w:rPr>
          <w:t>Figura 1. Tabla de Resultados Bajo Metodología TOPSIS.</w:t>
        </w:r>
        <w:r w:rsidR="00445317">
          <w:rPr>
            <w:noProof/>
            <w:webHidden/>
          </w:rPr>
          <w:tab/>
        </w:r>
        <w:r w:rsidR="00445317">
          <w:rPr>
            <w:noProof/>
            <w:webHidden/>
          </w:rPr>
          <w:fldChar w:fldCharType="begin"/>
        </w:r>
        <w:r w:rsidR="00445317">
          <w:rPr>
            <w:noProof/>
            <w:webHidden/>
          </w:rPr>
          <w:instrText xml:space="preserve"> PAGEREF _Toc134470861 \h </w:instrText>
        </w:r>
        <w:r w:rsidR="00445317">
          <w:rPr>
            <w:noProof/>
            <w:webHidden/>
          </w:rPr>
        </w:r>
        <w:r w:rsidR="00445317">
          <w:rPr>
            <w:noProof/>
            <w:webHidden/>
          </w:rPr>
          <w:fldChar w:fldCharType="separate"/>
        </w:r>
        <w:r w:rsidR="00036BF0">
          <w:rPr>
            <w:noProof/>
            <w:webHidden/>
          </w:rPr>
          <w:t>27</w:t>
        </w:r>
        <w:r w:rsidR="00445317">
          <w:rPr>
            <w:noProof/>
            <w:webHidden/>
          </w:rPr>
          <w:fldChar w:fldCharType="end"/>
        </w:r>
      </w:hyperlink>
    </w:p>
    <w:p w14:paraId="175981D4" w14:textId="418D8205"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62" w:history="1">
        <w:r w:rsidR="00445317" w:rsidRPr="0061062C">
          <w:rPr>
            <w:rStyle w:val="Hipervnculo"/>
            <w:noProof/>
            <w:lang w:eastAsia="es-ES_tradnl"/>
          </w:rPr>
          <w:t>Figura 2. Funciones de pertenencia de la probabilidad, impacto y nivel de riesgo, respectivamente.</w:t>
        </w:r>
        <w:r w:rsidR="00445317">
          <w:rPr>
            <w:noProof/>
            <w:webHidden/>
          </w:rPr>
          <w:tab/>
        </w:r>
        <w:r w:rsidR="00445317">
          <w:rPr>
            <w:noProof/>
            <w:webHidden/>
          </w:rPr>
          <w:fldChar w:fldCharType="begin"/>
        </w:r>
        <w:r w:rsidR="00445317">
          <w:rPr>
            <w:noProof/>
            <w:webHidden/>
          </w:rPr>
          <w:instrText xml:space="preserve"> PAGEREF _Toc134470862 \h </w:instrText>
        </w:r>
        <w:r w:rsidR="00445317">
          <w:rPr>
            <w:noProof/>
            <w:webHidden/>
          </w:rPr>
        </w:r>
        <w:r w:rsidR="00445317">
          <w:rPr>
            <w:noProof/>
            <w:webHidden/>
          </w:rPr>
          <w:fldChar w:fldCharType="separate"/>
        </w:r>
        <w:r w:rsidR="00036BF0">
          <w:rPr>
            <w:noProof/>
            <w:webHidden/>
          </w:rPr>
          <w:t>41</w:t>
        </w:r>
        <w:r w:rsidR="00445317">
          <w:rPr>
            <w:noProof/>
            <w:webHidden/>
          </w:rPr>
          <w:fldChar w:fldCharType="end"/>
        </w:r>
      </w:hyperlink>
    </w:p>
    <w:p w14:paraId="5FD65D0F" w14:textId="49F6270F" w:rsidR="00445317" w:rsidRDefault="009F4F0D">
      <w:pPr>
        <w:pStyle w:val="Tabladeilustraciones"/>
        <w:tabs>
          <w:tab w:val="right" w:leader="dot" w:pos="9396"/>
        </w:tabs>
        <w:rPr>
          <w:rFonts w:asciiTheme="minorHAnsi" w:eastAsiaTheme="minorEastAsia" w:hAnsiTheme="minorHAnsi" w:cstheme="minorBidi"/>
          <w:noProof/>
          <w:kern w:val="2"/>
          <w:sz w:val="22"/>
          <w:szCs w:val="22"/>
          <w:lang w:val="es-CO"/>
          <w14:ligatures w14:val="standardContextual"/>
        </w:rPr>
      </w:pPr>
      <w:hyperlink w:anchor="_Toc134470863" w:history="1">
        <w:r w:rsidR="00445317" w:rsidRPr="0061062C">
          <w:rPr>
            <w:rStyle w:val="Hipervnculo"/>
            <w:noProof/>
          </w:rPr>
          <w:t>Figura 3. Matriz de riesgos climáticos de transición Grupo Nutresa..</w:t>
        </w:r>
        <w:r w:rsidR="00445317">
          <w:rPr>
            <w:noProof/>
            <w:webHidden/>
          </w:rPr>
          <w:tab/>
        </w:r>
        <w:r w:rsidR="00445317">
          <w:rPr>
            <w:noProof/>
            <w:webHidden/>
          </w:rPr>
          <w:fldChar w:fldCharType="begin"/>
        </w:r>
        <w:r w:rsidR="00445317">
          <w:rPr>
            <w:noProof/>
            <w:webHidden/>
          </w:rPr>
          <w:instrText xml:space="preserve"> PAGEREF _Toc134470863 \h </w:instrText>
        </w:r>
        <w:r w:rsidR="00445317">
          <w:rPr>
            <w:noProof/>
            <w:webHidden/>
          </w:rPr>
        </w:r>
        <w:r w:rsidR="00445317">
          <w:rPr>
            <w:noProof/>
            <w:webHidden/>
          </w:rPr>
          <w:fldChar w:fldCharType="separate"/>
        </w:r>
        <w:r w:rsidR="00036BF0">
          <w:rPr>
            <w:noProof/>
            <w:webHidden/>
          </w:rPr>
          <w:t>44</w:t>
        </w:r>
        <w:r w:rsidR="00445317">
          <w:rPr>
            <w:noProof/>
            <w:webHidden/>
          </w:rPr>
          <w:fldChar w:fldCharType="end"/>
        </w:r>
      </w:hyperlink>
    </w:p>
    <w:p w14:paraId="66DD3D73" w14:textId="3DBCE762" w:rsidR="00E41977" w:rsidRPr="005A45F6" w:rsidRDefault="004D533A" w:rsidP="00E41977">
      <w:pPr>
        <w:pStyle w:val="TituloPortadas"/>
      </w:pPr>
      <w:r>
        <w:fldChar w:fldCharType="end"/>
      </w:r>
    </w:p>
    <w:p w14:paraId="0D6EB137" w14:textId="77777777" w:rsidR="00E41977" w:rsidRDefault="00E41977" w:rsidP="00E41977">
      <w:pPr>
        <w:jc w:val="right"/>
      </w:pPr>
    </w:p>
    <w:p w14:paraId="6A913B15" w14:textId="77777777" w:rsidR="00E41977" w:rsidRDefault="00E41977" w:rsidP="00E41977"/>
    <w:p w14:paraId="609485FE" w14:textId="77777777" w:rsidR="00E41977" w:rsidRDefault="00E41977" w:rsidP="00E41977">
      <w:pPr>
        <w:pStyle w:val="TituloPortadas"/>
      </w:pPr>
      <w:r>
        <w:br w:type="page"/>
      </w:r>
      <w:r>
        <w:lastRenderedPageBreak/>
        <w:t>lista de anexos</w:t>
      </w:r>
    </w:p>
    <w:p w14:paraId="034E56CC" w14:textId="46416F41" w:rsidR="008E1951" w:rsidRDefault="008E1951">
      <w:pPr>
        <w:pStyle w:val="Tabladeilustraciones"/>
        <w:tabs>
          <w:tab w:val="right" w:leader="dot" w:pos="9396"/>
        </w:tabs>
        <w:rPr>
          <w:rFonts w:asciiTheme="minorHAnsi" w:eastAsiaTheme="minorEastAsia" w:hAnsiTheme="minorHAnsi" w:cstheme="minorBidi"/>
          <w:noProof/>
          <w:kern w:val="2"/>
          <w:szCs w:val="24"/>
          <w:lang w:val="es-CO" w:eastAsia="es-MX"/>
          <w14:ligatures w14:val="standardContextual"/>
        </w:rPr>
      </w:pPr>
      <w:r>
        <w:fldChar w:fldCharType="begin"/>
      </w:r>
      <w:r>
        <w:instrText xml:space="preserve"> TOC \h \z \c "Anexos" </w:instrText>
      </w:r>
      <w:r>
        <w:fldChar w:fldCharType="separate"/>
      </w:r>
      <w:hyperlink w:anchor="_Toc134468871" w:history="1">
        <w:r w:rsidRPr="00F97420">
          <w:rPr>
            <w:rStyle w:val="Hipervnculo"/>
            <w:b/>
            <w:bCs/>
            <w:noProof/>
          </w:rPr>
          <w:t>Anexos 1. Código procesamiento de información TOPSIS y Fuzzy Logic</w:t>
        </w:r>
        <w:r>
          <w:rPr>
            <w:noProof/>
            <w:webHidden/>
          </w:rPr>
          <w:tab/>
        </w:r>
        <w:r>
          <w:rPr>
            <w:noProof/>
            <w:webHidden/>
          </w:rPr>
          <w:fldChar w:fldCharType="begin"/>
        </w:r>
        <w:r>
          <w:rPr>
            <w:noProof/>
            <w:webHidden/>
          </w:rPr>
          <w:instrText xml:space="preserve"> PAGEREF _Toc134468871 \h </w:instrText>
        </w:r>
        <w:r>
          <w:rPr>
            <w:noProof/>
            <w:webHidden/>
          </w:rPr>
        </w:r>
        <w:r>
          <w:rPr>
            <w:noProof/>
            <w:webHidden/>
          </w:rPr>
          <w:fldChar w:fldCharType="separate"/>
        </w:r>
        <w:r w:rsidR="00036BF0">
          <w:rPr>
            <w:noProof/>
            <w:webHidden/>
          </w:rPr>
          <w:t>58</w:t>
        </w:r>
        <w:r>
          <w:rPr>
            <w:noProof/>
            <w:webHidden/>
          </w:rPr>
          <w:fldChar w:fldCharType="end"/>
        </w:r>
      </w:hyperlink>
    </w:p>
    <w:p w14:paraId="6F6478B8" w14:textId="1438CB06" w:rsidR="008E1951" w:rsidRDefault="009F4F0D">
      <w:pPr>
        <w:pStyle w:val="Tabladeilustraciones"/>
        <w:tabs>
          <w:tab w:val="right" w:leader="dot" w:pos="9396"/>
        </w:tabs>
        <w:rPr>
          <w:rFonts w:asciiTheme="minorHAnsi" w:eastAsiaTheme="minorEastAsia" w:hAnsiTheme="minorHAnsi" w:cstheme="minorBidi"/>
          <w:noProof/>
          <w:kern w:val="2"/>
          <w:szCs w:val="24"/>
          <w:lang w:val="es-CO" w:eastAsia="es-MX"/>
          <w14:ligatures w14:val="standardContextual"/>
        </w:rPr>
      </w:pPr>
      <w:hyperlink w:anchor="_Toc134468872" w:history="1">
        <w:r w:rsidR="008E1951" w:rsidRPr="00F97420">
          <w:rPr>
            <w:rStyle w:val="Hipervnculo"/>
            <w:b/>
            <w:bCs/>
            <w:noProof/>
          </w:rPr>
          <w:t>Anexos 2. Instrumento de validación con expertos</w:t>
        </w:r>
        <w:r w:rsidR="008E1951">
          <w:rPr>
            <w:noProof/>
            <w:webHidden/>
          </w:rPr>
          <w:tab/>
        </w:r>
        <w:r w:rsidR="008E1951">
          <w:rPr>
            <w:noProof/>
            <w:webHidden/>
          </w:rPr>
          <w:fldChar w:fldCharType="begin"/>
        </w:r>
        <w:r w:rsidR="008E1951">
          <w:rPr>
            <w:noProof/>
            <w:webHidden/>
          </w:rPr>
          <w:instrText xml:space="preserve"> PAGEREF _Toc134468872 \h </w:instrText>
        </w:r>
        <w:r w:rsidR="008E1951">
          <w:rPr>
            <w:noProof/>
            <w:webHidden/>
          </w:rPr>
        </w:r>
        <w:r w:rsidR="008E1951">
          <w:rPr>
            <w:noProof/>
            <w:webHidden/>
          </w:rPr>
          <w:fldChar w:fldCharType="separate"/>
        </w:r>
        <w:r w:rsidR="00036BF0">
          <w:rPr>
            <w:noProof/>
            <w:webHidden/>
          </w:rPr>
          <w:t>61</w:t>
        </w:r>
        <w:r w:rsidR="008E1951">
          <w:rPr>
            <w:noProof/>
            <w:webHidden/>
          </w:rPr>
          <w:fldChar w:fldCharType="end"/>
        </w:r>
      </w:hyperlink>
    </w:p>
    <w:p w14:paraId="3CE55AA8" w14:textId="7C7815EA" w:rsidR="00E41977" w:rsidRPr="005A45F6" w:rsidRDefault="008E1951" w:rsidP="00E41977">
      <w:pPr>
        <w:pStyle w:val="TituloPortadas"/>
      </w:pPr>
      <w:r>
        <w:fldChar w:fldCharType="end"/>
      </w:r>
    </w:p>
    <w:p w14:paraId="67E3839C" w14:textId="77777777" w:rsidR="00E41977" w:rsidRDefault="00E41977" w:rsidP="00E41977">
      <w:pPr>
        <w:jc w:val="right"/>
      </w:pPr>
    </w:p>
    <w:p w14:paraId="1E3CF089" w14:textId="77777777" w:rsidR="00E41977" w:rsidRDefault="00E41977" w:rsidP="00E41977"/>
    <w:p w14:paraId="529BADFC" w14:textId="5A4A6874" w:rsidR="002D646B" w:rsidRDefault="002D646B" w:rsidP="002874FB">
      <w:pPr>
        <w:pStyle w:val="TituloPortadas"/>
        <w:jc w:val="both"/>
      </w:pPr>
    </w:p>
    <w:p w14:paraId="104508D5" w14:textId="0DBFCC71" w:rsidR="008151FB" w:rsidRPr="008151FB" w:rsidRDefault="00F72A0E" w:rsidP="008151FB">
      <w:pPr>
        <w:pStyle w:val="TituloPortadas"/>
      </w:pPr>
      <w:r>
        <w:br w:type="page"/>
      </w:r>
      <w:r w:rsidR="002D646B" w:rsidRPr="00E41977">
        <w:lastRenderedPageBreak/>
        <w:t xml:space="preserve">Resumen </w:t>
      </w:r>
    </w:p>
    <w:p w14:paraId="380E1A50" w14:textId="5672B68C" w:rsidR="00AB06E8" w:rsidRDefault="008151FB" w:rsidP="00585C81">
      <w:pPr>
        <w:spacing w:line="360" w:lineRule="auto"/>
        <w:jc w:val="both"/>
        <w:rPr>
          <w:iCs/>
          <w:szCs w:val="24"/>
        </w:rPr>
      </w:pPr>
      <w:bookmarkStart w:id="0" w:name="_Hlk103517031"/>
      <w:r>
        <w:rPr>
          <w:iCs/>
          <w:szCs w:val="24"/>
        </w:rPr>
        <w:t>Uno de los retos m</w:t>
      </w:r>
      <w:r w:rsidR="005661EB">
        <w:rPr>
          <w:iCs/>
          <w:szCs w:val="24"/>
        </w:rPr>
        <w:t>á</w:t>
      </w:r>
      <w:r>
        <w:rPr>
          <w:iCs/>
          <w:szCs w:val="24"/>
        </w:rPr>
        <w:t>s grandes que tiene la humanidad en este siglo XXI es sin duda el cambio climático. El cambio climático está creciendo de manera insostenible</w:t>
      </w:r>
      <w:r w:rsidR="000704EA">
        <w:rPr>
          <w:iCs/>
          <w:szCs w:val="24"/>
        </w:rPr>
        <w:t>, a velocidades cada vez mayores y más difíciles de contener. Las herramientas y conocimientos a través de las cuales se han basado naciones, instituciones y empresas para combatir esta problemática parecen ya no ser suficientes, y</w:t>
      </w:r>
      <w:r w:rsidR="00F5409F">
        <w:rPr>
          <w:iCs/>
          <w:szCs w:val="24"/>
        </w:rPr>
        <w:t xml:space="preserve"> </w:t>
      </w:r>
      <w:r w:rsidR="000704EA">
        <w:rPr>
          <w:iCs/>
          <w:szCs w:val="24"/>
        </w:rPr>
        <w:t>cada día que pasa</w:t>
      </w:r>
      <w:r w:rsidR="00737329">
        <w:rPr>
          <w:iCs/>
          <w:szCs w:val="24"/>
        </w:rPr>
        <w:t xml:space="preserve"> se van </w:t>
      </w:r>
      <w:r w:rsidR="00737329" w:rsidRPr="00455163">
        <w:t>quedando más obsoletas frente a un panorama que c</w:t>
      </w:r>
      <w:r w:rsidR="00F5409F" w:rsidRPr="00455163">
        <w:t>ambia</w:t>
      </w:r>
      <w:r w:rsidR="00737329" w:rsidRPr="00455163">
        <w:t xml:space="preserve"> </w:t>
      </w:r>
      <w:r w:rsidR="00F5409F" w:rsidRPr="00455163">
        <w:t>vertiginosamente</w:t>
      </w:r>
      <w:r w:rsidR="00737329" w:rsidRPr="00455163">
        <w:t>.</w:t>
      </w:r>
      <w:r w:rsidR="00F95EAD">
        <w:t xml:space="preserve"> Los avances en la inteligencia artificial también han llegado a esta rama</w:t>
      </w:r>
      <w:r w:rsidR="00737329">
        <w:rPr>
          <w:iCs/>
          <w:szCs w:val="24"/>
        </w:rPr>
        <w:t xml:space="preserve">. </w:t>
      </w:r>
      <w:r w:rsidR="00F95EAD">
        <w:rPr>
          <w:iCs/>
          <w:szCs w:val="24"/>
        </w:rPr>
        <w:t xml:space="preserve">En este trabajo se </w:t>
      </w:r>
      <w:r w:rsidR="00FF18A9">
        <w:rPr>
          <w:iCs/>
          <w:szCs w:val="24"/>
        </w:rPr>
        <w:t>desarrolla</w:t>
      </w:r>
      <w:r w:rsidR="00F95EAD">
        <w:rPr>
          <w:iCs/>
          <w:szCs w:val="24"/>
        </w:rPr>
        <w:t xml:space="preserve"> una herramienta, m</w:t>
      </w:r>
      <w:r w:rsidR="00737329">
        <w:rPr>
          <w:iCs/>
          <w:szCs w:val="24"/>
        </w:rPr>
        <w:t xml:space="preserve">ediante el uso de lógica difusa, </w:t>
      </w:r>
      <w:r w:rsidR="00F95EAD">
        <w:rPr>
          <w:iCs/>
          <w:szCs w:val="24"/>
        </w:rPr>
        <w:t>para</w:t>
      </w:r>
      <w:r w:rsidR="00737329">
        <w:rPr>
          <w:iCs/>
          <w:szCs w:val="24"/>
        </w:rPr>
        <w:t xml:space="preserve"> elaborar</w:t>
      </w:r>
      <w:r w:rsidR="00F95EAD">
        <w:rPr>
          <w:iCs/>
          <w:szCs w:val="24"/>
        </w:rPr>
        <w:t xml:space="preserve"> una</w:t>
      </w:r>
      <w:r w:rsidR="00737329">
        <w:rPr>
          <w:iCs/>
          <w:szCs w:val="24"/>
        </w:rPr>
        <w:t xml:space="preserve"> matriz de riesgos climáticos de transición. Para ello, se</w:t>
      </w:r>
      <w:r w:rsidR="005661EB">
        <w:rPr>
          <w:iCs/>
          <w:szCs w:val="24"/>
        </w:rPr>
        <w:t xml:space="preserve"> identifica</w:t>
      </w:r>
      <w:r w:rsidR="00F95EAD">
        <w:rPr>
          <w:iCs/>
          <w:szCs w:val="24"/>
        </w:rPr>
        <w:t>n</w:t>
      </w:r>
      <w:r w:rsidR="00737329">
        <w:rPr>
          <w:iCs/>
          <w:szCs w:val="24"/>
        </w:rPr>
        <w:t xml:space="preserve"> </w:t>
      </w:r>
      <w:r w:rsidR="00AB06E8">
        <w:rPr>
          <w:iCs/>
          <w:szCs w:val="24"/>
        </w:rPr>
        <w:t>las variables m</w:t>
      </w:r>
      <w:r w:rsidR="005661EB">
        <w:rPr>
          <w:iCs/>
          <w:szCs w:val="24"/>
        </w:rPr>
        <w:t>á</w:t>
      </w:r>
      <w:r w:rsidR="00AB06E8">
        <w:rPr>
          <w:iCs/>
          <w:szCs w:val="24"/>
        </w:rPr>
        <w:t>s relevantes de cambio climático de transición. Posteriormente se elabora la matriz de riesgos</w:t>
      </w:r>
      <w:r w:rsidR="00F95EAD">
        <w:rPr>
          <w:iCs/>
          <w:szCs w:val="24"/>
        </w:rPr>
        <w:t>,</w:t>
      </w:r>
      <w:r w:rsidR="00AB06E8">
        <w:rPr>
          <w:iCs/>
          <w:szCs w:val="24"/>
        </w:rPr>
        <w:t xml:space="preserve"> partiendo del conocimiento recolectado tanto en la literatura como en la opinión de expertos temáticos. Luego, se </w:t>
      </w:r>
      <w:r w:rsidR="00F95EAD">
        <w:rPr>
          <w:iCs/>
          <w:szCs w:val="24"/>
        </w:rPr>
        <w:t xml:space="preserve">definen </w:t>
      </w:r>
      <w:r w:rsidR="00AB06E8">
        <w:rPr>
          <w:iCs/>
          <w:szCs w:val="24"/>
        </w:rPr>
        <w:t xml:space="preserve">los parámetros, funciones de pertenencia, y reglas del modelo de </w:t>
      </w:r>
      <w:proofErr w:type="spellStart"/>
      <w:r w:rsidR="00AB06E8">
        <w:rPr>
          <w:iCs/>
          <w:szCs w:val="24"/>
        </w:rPr>
        <w:t>defuzificación</w:t>
      </w:r>
      <w:proofErr w:type="spellEnd"/>
      <w:r w:rsidR="00AB06E8">
        <w:rPr>
          <w:iCs/>
          <w:szCs w:val="24"/>
        </w:rPr>
        <w:t>. Por último, se pr</w:t>
      </w:r>
      <w:r w:rsidR="00F95EAD">
        <w:rPr>
          <w:iCs/>
          <w:szCs w:val="24"/>
        </w:rPr>
        <w:t>ueba</w:t>
      </w:r>
      <w:r w:rsidR="00AB06E8">
        <w:rPr>
          <w:iCs/>
          <w:szCs w:val="24"/>
        </w:rPr>
        <w:t xml:space="preserve"> el modelo con datos recolectados y/o elaborados. Se valida también a través de la opinión de expertos temáticos, para posteriormente reconfigurar las variables que sea necesario reevaluar.</w:t>
      </w:r>
      <w:r w:rsidR="00F5409F">
        <w:rPr>
          <w:iCs/>
          <w:szCs w:val="24"/>
        </w:rPr>
        <w:t xml:space="preserve"> El resultado </w:t>
      </w:r>
      <w:r w:rsidR="00F95EAD">
        <w:rPr>
          <w:iCs/>
          <w:szCs w:val="24"/>
        </w:rPr>
        <w:t>es</w:t>
      </w:r>
      <w:r w:rsidR="00F5409F">
        <w:rPr>
          <w:iCs/>
          <w:szCs w:val="24"/>
        </w:rPr>
        <w:t xml:space="preserve"> un modelo computacional capaz de clasificar de manera acertada los diferentes riesgos climáticos de transición </w:t>
      </w:r>
      <w:r w:rsidR="00F95EAD">
        <w:rPr>
          <w:iCs/>
          <w:szCs w:val="24"/>
        </w:rPr>
        <w:t>que sirva como base para su</w:t>
      </w:r>
      <w:r w:rsidR="00F5409F">
        <w:rPr>
          <w:iCs/>
          <w:szCs w:val="24"/>
        </w:rPr>
        <w:t xml:space="preserve"> gestión, de manera eficiente.</w:t>
      </w:r>
    </w:p>
    <w:bookmarkEnd w:id="0"/>
    <w:p w14:paraId="2BFBB365" w14:textId="1C63410D" w:rsidR="00F5409F" w:rsidRPr="008151FB" w:rsidRDefault="00F5409F" w:rsidP="00585C81">
      <w:pPr>
        <w:spacing w:line="360" w:lineRule="auto"/>
        <w:jc w:val="both"/>
        <w:rPr>
          <w:iCs/>
          <w:szCs w:val="24"/>
        </w:rPr>
      </w:pPr>
      <w:r>
        <w:rPr>
          <w:iCs/>
          <w:szCs w:val="24"/>
        </w:rPr>
        <w:t xml:space="preserve">PALABRAS CLAVE: </w:t>
      </w:r>
      <w:r w:rsidR="00FF18A9">
        <w:rPr>
          <w:iCs/>
          <w:szCs w:val="24"/>
        </w:rPr>
        <w:t>riesgos climáticos de transición, lógica difusa, TOPSIS</w:t>
      </w:r>
      <w:r>
        <w:rPr>
          <w:iCs/>
          <w:szCs w:val="24"/>
        </w:rPr>
        <w:t>,</w:t>
      </w:r>
      <w:r w:rsidR="00AF6A5A">
        <w:rPr>
          <w:iCs/>
          <w:szCs w:val="24"/>
        </w:rPr>
        <w:t xml:space="preserve"> </w:t>
      </w:r>
      <w:r w:rsidR="00FF18A9">
        <w:rPr>
          <w:iCs/>
          <w:szCs w:val="24"/>
        </w:rPr>
        <w:t>m</w:t>
      </w:r>
      <w:r>
        <w:rPr>
          <w:iCs/>
          <w:szCs w:val="24"/>
        </w:rPr>
        <w:t xml:space="preserve">atriz de riesgos, </w:t>
      </w:r>
      <w:r w:rsidR="00FF18A9">
        <w:rPr>
          <w:iCs/>
          <w:szCs w:val="24"/>
        </w:rPr>
        <w:t>m</w:t>
      </w:r>
      <w:r w:rsidR="00AF6A5A">
        <w:rPr>
          <w:iCs/>
          <w:szCs w:val="24"/>
        </w:rPr>
        <w:t>odelo computacional</w:t>
      </w:r>
      <w:r>
        <w:rPr>
          <w:iCs/>
          <w:szCs w:val="24"/>
        </w:rPr>
        <w:t>.</w:t>
      </w:r>
    </w:p>
    <w:p w14:paraId="4F9F8D89" w14:textId="2E266750" w:rsidR="00F72A0E" w:rsidRPr="008763E4" w:rsidRDefault="00F72A0E" w:rsidP="00B056AF">
      <w:pPr>
        <w:jc w:val="center"/>
        <w:rPr>
          <w:lang w:val="en-US"/>
        </w:rPr>
      </w:pPr>
      <w:r w:rsidRPr="00FF18A9">
        <w:rPr>
          <w:i/>
          <w:color w:val="0000FF"/>
          <w:sz w:val="20"/>
          <w:lang w:val="es-CO"/>
        </w:rPr>
        <w:br w:type="page"/>
      </w:r>
      <w:r w:rsidRPr="008763E4">
        <w:rPr>
          <w:b/>
          <w:caps/>
          <w:sz w:val="32"/>
          <w:szCs w:val="32"/>
          <w:lang w:val="en-US"/>
        </w:rPr>
        <w:lastRenderedPageBreak/>
        <w:t>ABSTRACT</w:t>
      </w:r>
    </w:p>
    <w:p w14:paraId="10449892" w14:textId="290D332E" w:rsidR="00EC7AFE" w:rsidRPr="00C776AA" w:rsidRDefault="00AF6A5A" w:rsidP="00D06F8C">
      <w:pPr>
        <w:spacing w:line="360" w:lineRule="auto"/>
        <w:jc w:val="both"/>
        <w:rPr>
          <w:szCs w:val="22"/>
          <w:lang w:val="en-US"/>
        </w:rPr>
      </w:pPr>
      <w:r w:rsidRPr="00C776AA">
        <w:rPr>
          <w:szCs w:val="22"/>
          <w:lang w:val="en-US"/>
        </w:rPr>
        <w:t xml:space="preserve">One of the biggest challenges facing humanity in the 21st century is without a doubt climate change. Climate change is growing </w:t>
      </w:r>
      <w:r w:rsidR="00C346AA" w:rsidRPr="00C776AA">
        <w:rPr>
          <w:szCs w:val="22"/>
          <w:lang w:val="en-US"/>
        </w:rPr>
        <w:t xml:space="preserve">unsustainably, at ever-increasing speeds that are more difficult to contain. Tools and knowledges on which nations, institutions and companies have relied to combat this problem no longer seem to be sufficient, and </w:t>
      </w:r>
      <w:r w:rsidR="00EC7AFE" w:rsidRPr="00C776AA">
        <w:rPr>
          <w:szCs w:val="22"/>
          <w:lang w:val="en-US"/>
        </w:rPr>
        <w:t xml:space="preserve">with each passing day they are becoming more obsolete in the face of </w:t>
      </w:r>
      <w:r w:rsidR="00307E07">
        <w:rPr>
          <w:szCs w:val="22"/>
          <w:lang w:val="en-US"/>
        </w:rPr>
        <w:t xml:space="preserve">a </w:t>
      </w:r>
      <w:r w:rsidR="00EC7AFE" w:rsidRPr="00C776AA">
        <w:rPr>
          <w:szCs w:val="22"/>
          <w:lang w:val="en-US"/>
        </w:rPr>
        <w:t xml:space="preserve">rapidly changing landscape. In the </w:t>
      </w:r>
      <w:r w:rsidR="000F0195" w:rsidRPr="00C776AA">
        <w:rPr>
          <w:szCs w:val="22"/>
          <w:lang w:val="en-US"/>
        </w:rPr>
        <w:t xml:space="preserve">following </w:t>
      </w:r>
      <w:r w:rsidR="000F0195">
        <w:rPr>
          <w:szCs w:val="22"/>
          <w:lang w:val="en-US"/>
        </w:rPr>
        <w:t>research</w:t>
      </w:r>
      <w:r w:rsidR="00EC7AFE" w:rsidRPr="00C776AA">
        <w:rPr>
          <w:szCs w:val="22"/>
          <w:lang w:val="en-US"/>
        </w:rPr>
        <w:t>, a risk management tool is proposed, using techniques and knowledges that are becoming more and more relevant to solve this kind of problems</w:t>
      </w:r>
      <w:r w:rsidR="00DD171B" w:rsidRPr="00C776AA">
        <w:rPr>
          <w:szCs w:val="22"/>
          <w:lang w:val="en-US"/>
        </w:rPr>
        <w:t xml:space="preserve">. </w:t>
      </w:r>
      <w:r w:rsidR="00307E07">
        <w:rPr>
          <w:szCs w:val="22"/>
          <w:lang w:val="en-US"/>
        </w:rPr>
        <w:t>Based on the application of</w:t>
      </w:r>
      <w:r w:rsidR="00DD171B" w:rsidRPr="00C776AA">
        <w:rPr>
          <w:szCs w:val="22"/>
          <w:lang w:val="en-US"/>
        </w:rPr>
        <w:t xml:space="preserve"> Fuzzy logic, </w:t>
      </w:r>
      <w:r w:rsidR="00307E07">
        <w:rPr>
          <w:szCs w:val="22"/>
          <w:lang w:val="en-US"/>
        </w:rPr>
        <w:t xml:space="preserve">this work proposes </w:t>
      </w:r>
      <w:r w:rsidR="00DD171B" w:rsidRPr="00C776AA">
        <w:rPr>
          <w:szCs w:val="22"/>
          <w:lang w:val="en-US"/>
        </w:rPr>
        <w:t>a risk matrix specifically for transitional climate risks</w:t>
      </w:r>
      <w:r w:rsidR="000235FA">
        <w:rPr>
          <w:szCs w:val="22"/>
          <w:lang w:val="en-US"/>
        </w:rPr>
        <w:t>. These risk</w:t>
      </w:r>
      <w:r w:rsidR="002F09D1">
        <w:rPr>
          <w:szCs w:val="22"/>
          <w:lang w:val="en-US"/>
        </w:rPr>
        <w:t>s</w:t>
      </w:r>
      <w:r w:rsidR="000235FA">
        <w:rPr>
          <w:szCs w:val="22"/>
          <w:lang w:val="en-US"/>
        </w:rPr>
        <w:t xml:space="preserve"> refer to</w:t>
      </w:r>
      <w:r w:rsidR="002F09D1">
        <w:rPr>
          <w:szCs w:val="22"/>
          <w:lang w:val="en-US"/>
        </w:rPr>
        <w:t xml:space="preserve"> </w:t>
      </w:r>
      <w:r w:rsidR="00DD171B" w:rsidRPr="00C776AA">
        <w:rPr>
          <w:szCs w:val="22"/>
          <w:lang w:val="en-US"/>
        </w:rPr>
        <w:t xml:space="preserve">a response from civilization towards climate change, by means of laws, decrees, and market changes, among others. </w:t>
      </w:r>
      <w:r w:rsidR="002D1A85" w:rsidRPr="00C776AA">
        <w:rPr>
          <w:szCs w:val="22"/>
          <w:lang w:val="en-US"/>
        </w:rPr>
        <w:t>For this end, research will be carried out</w:t>
      </w:r>
      <w:r w:rsidR="002C7DCB" w:rsidRPr="00C776AA">
        <w:rPr>
          <w:szCs w:val="22"/>
          <w:lang w:val="en-US"/>
        </w:rPr>
        <w:t xml:space="preserve"> </w:t>
      </w:r>
      <w:r w:rsidR="00EA0660" w:rsidRPr="00C776AA">
        <w:rPr>
          <w:szCs w:val="22"/>
          <w:lang w:val="en-US"/>
        </w:rPr>
        <w:t>to</w:t>
      </w:r>
      <w:r w:rsidR="002C7DCB" w:rsidRPr="00C776AA">
        <w:rPr>
          <w:szCs w:val="22"/>
          <w:lang w:val="en-US"/>
        </w:rPr>
        <w:t xml:space="preserve"> find</w:t>
      </w:r>
      <w:r w:rsidR="002D1A85" w:rsidRPr="00C776AA">
        <w:rPr>
          <w:szCs w:val="22"/>
          <w:lang w:val="en-US"/>
        </w:rPr>
        <w:t xml:space="preserve"> the most relevant transitional climate change variables.</w:t>
      </w:r>
      <w:r w:rsidR="002C7DCB" w:rsidRPr="00C776AA">
        <w:rPr>
          <w:szCs w:val="22"/>
          <w:lang w:val="en-US"/>
        </w:rPr>
        <w:t xml:space="preserve"> Subsequently, a transitional climate risk matrix will be </w:t>
      </w:r>
      <w:r w:rsidR="002F09D1">
        <w:rPr>
          <w:szCs w:val="22"/>
          <w:lang w:val="en-US"/>
        </w:rPr>
        <w:t>developed</w:t>
      </w:r>
      <w:r w:rsidR="002C7DCB" w:rsidRPr="00C776AA">
        <w:rPr>
          <w:szCs w:val="22"/>
          <w:lang w:val="en-US"/>
        </w:rPr>
        <w:t xml:space="preserve">, based on </w:t>
      </w:r>
      <w:r w:rsidR="00A828C4" w:rsidRPr="00C776AA">
        <w:rPr>
          <w:szCs w:val="22"/>
          <w:lang w:val="en-US"/>
        </w:rPr>
        <w:t xml:space="preserve">the knowledge gathered from both research and thematic </w:t>
      </w:r>
      <w:r w:rsidR="00D61089" w:rsidRPr="00C776AA">
        <w:rPr>
          <w:szCs w:val="22"/>
          <w:lang w:val="en-US"/>
        </w:rPr>
        <w:t>experts’</w:t>
      </w:r>
      <w:r w:rsidR="00A828C4" w:rsidRPr="00C776AA">
        <w:rPr>
          <w:szCs w:val="22"/>
          <w:lang w:val="en-US"/>
        </w:rPr>
        <w:t xml:space="preserve"> opinions. </w:t>
      </w:r>
      <w:r w:rsidR="002F09D1">
        <w:rPr>
          <w:szCs w:val="22"/>
          <w:lang w:val="en-US"/>
        </w:rPr>
        <w:t>Then</w:t>
      </w:r>
      <w:r w:rsidR="00A828C4" w:rsidRPr="00C776AA">
        <w:rPr>
          <w:szCs w:val="22"/>
          <w:lang w:val="en-US"/>
        </w:rPr>
        <w:t>, the parameters, membership functions and rules of the defuzzification model will be defined. Finally, the model will be tested by using collected, or elaborated data</w:t>
      </w:r>
      <w:r w:rsidR="0089376E" w:rsidRPr="00C776AA">
        <w:rPr>
          <w:szCs w:val="22"/>
          <w:lang w:val="en-US"/>
        </w:rPr>
        <w:t xml:space="preserve">. The model will also be validated through thematical </w:t>
      </w:r>
      <w:r w:rsidR="00EA0660" w:rsidRPr="00C776AA">
        <w:rPr>
          <w:szCs w:val="22"/>
          <w:lang w:val="en-US"/>
        </w:rPr>
        <w:t>expert’s</w:t>
      </w:r>
      <w:r w:rsidR="0089376E" w:rsidRPr="00C776AA">
        <w:rPr>
          <w:szCs w:val="22"/>
          <w:lang w:val="en-US"/>
        </w:rPr>
        <w:t xml:space="preserve"> opinion, </w:t>
      </w:r>
      <w:r w:rsidR="00D61089" w:rsidRPr="00C776AA">
        <w:rPr>
          <w:szCs w:val="22"/>
          <w:lang w:val="en-US"/>
        </w:rPr>
        <w:t>to</w:t>
      </w:r>
      <w:r w:rsidR="0089376E" w:rsidRPr="00C776AA">
        <w:rPr>
          <w:szCs w:val="22"/>
          <w:lang w:val="en-US"/>
        </w:rPr>
        <w:t xml:space="preserve"> subsequently reconfigur</w:t>
      </w:r>
      <w:r w:rsidR="00B232DA">
        <w:rPr>
          <w:szCs w:val="22"/>
          <w:lang w:val="en-US"/>
        </w:rPr>
        <w:t>e</w:t>
      </w:r>
      <w:r w:rsidR="0089376E" w:rsidRPr="00C776AA">
        <w:rPr>
          <w:szCs w:val="22"/>
          <w:lang w:val="en-US"/>
        </w:rPr>
        <w:t xml:space="preserve"> variables that may need to be reevaluated. The expected outcome </w:t>
      </w:r>
      <w:r w:rsidR="00B232DA">
        <w:rPr>
          <w:szCs w:val="22"/>
          <w:lang w:val="en-US"/>
        </w:rPr>
        <w:t>is</w:t>
      </w:r>
      <w:r w:rsidR="0089376E" w:rsidRPr="00C776AA">
        <w:rPr>
          <w:szCs w:val="22"/>
          <w:lang w:val="en-US"/>
        </w:rPr>
        <w:t xml:space="preserve"> a computational model </w:t>
      </w:r>
      <w:r w:rsidR="006F4982" w:rsidRPr="00C776AA">
        <w:rPr>
          <w:szCs w:val="22"/>
          <w:lang w:val="en-US"/>
        </w:rPr>
        <w:t>cap</w:t>
      </w:r>
      <w:r w:rsidR="0089376E" w:rsidRPr="00C776AA">
        <w:rPr>
          <w:szCs w:val="22"/>
          <w:lang w:val="en-US"/>
        </w:rPr>
        <w:t xml:space="preserve">able </w:t>
      </w:r>
      <w:r w:rsidR="006F4982" w:rsidRPr="00C776AA">
        <w:rPr>
          <w:szCs w:val="22"/>
          <w:lang w:val="en-US"/>
        </w:rPr>
        <w:t>of</w:t>
      </w:r>
      <w:r w:rsidR="0089376E" w:rsidRPr="00C776AA">
        <w:rPr>
          <w:szCs w:val="22"/>
          <w:lang w:val="en-US"/>
        </w:rPr>
        <w:t xml:space="preserve"> successfully classify</w:t>
      </w:r>
      <w:r w:rsidR="006F4982" w:rsidRPr="00C776AA">
        <w:rPr>
          <w:szCs w:val="22"/>
          <w:lang w:val="en-US"/>
        </w:rPr>
        <w:t>ing</w:t>
      </w:r>
      <w:r w:rsidR="0089376E" w:rsidRPr="00C776AA">
        <w:rPr>
          <w:szCs w:val="22"/>
          <w:lang w:val="en-US"/>
        </w:rPr>
        <w:t xml:space="preserve"> different transitional climate risks</w:t>
      </w:r>
      <w:r w:rsidR="00B232DA">
        <w:rPr>
          <w:szCs w:val="22"/>
          <w:lang w:val="en-US"/>
        </w:rPr>
        <w:t>,</w:t>
      </w:r>
      <w:r w:rsidR="0089376E" w:rsidRPr="00C776AA">
        <w:rPr>
          <w:szCs w:val="22"/>
          <w:lang w:val="en-US"/>
        </w:rPr>
        <w:t xml:space="preserve"> </w:t>
      </w:r>
      <w:r w:rsidR="00B232DA">
        <w:rPr>
          <w:szCs w:val="22"/>
          <w:lang w:val="en-US"/>
        </w:rPr>
        <w:t>so that they can be</w:t>
      </w:r>
      <w:r w:rsidR="0089376E" w:rsidRPr="00C776AA">
        <w:rPr>
          <w:szCs w:val="22"/>
          <w:lang w:val="en-US"/>
        </w:rPr>
        <w:t xml:space="preserve"> manage</w:t>
      </w:r>
      <w:r w:rsidR="00B232DA">
        <w:rPr>
          <w:szCs w:val="22"/>
          <w:lang w:val="en-US"/>
        </w:rPr>
        <w:t>d efficiently</w:t>
      </w:r>
      <w:r w:rsidR="0089376E" w:rsidRPr="00C776AA">
        <w:rPr>
          <w:szCs w:val="22"/>
          <w:lang w:val="en-US"/>
        </w:rPr>
        <w:t xml:space="preserve">. </w:t>
      </w:r>
    </w:p>
    <w:p w14:paraId="6CED98A5" w14:textId="65BFCFA8" w:rsidR="00237C61" w:rsidRPr="00C776AA" w:rsidRDefault="002110B3" w:rsidP="00D06F8C">
      <w:pPr>
        <w:jc w:val="both"/>
        <w:rPr>
          <w:szCs w:val="22"/>
          <w:lang w:val="en-US"/>
        </w:rPr>
        <w:sectPr w:rsidR="00237C61" w:rsidRPr="00C776AA" w:rsidSect="00F55D2E">
          <w:footerReference w:type="even" r:id="rId12"/>
          <w:pgSz w:w="12242" w:h="15842" w:code="1"/>
          <w:pgMar w:top="1418" w:right="1418" w:bottom="1418" w:left="1418" w:header="851" w:footer="851" w:gutter="0"/>
          <w:cols w:space="720"/>
        </w:sectPr>
      </w:pPr>
      <w:r w:rsidRPr="00C776AA">
        <w:rPr>
          <w:szCs w:val="22"/>
          <w:lang w:val="en-US"/>
        </w:rPr>
        <w:t xml:space="preserve"> Key</w:t>
      </w:r>
      <w:r w:rsidR="00237C61" w:rsidRPr="00C776AA">
        <w:rPr>
          <w:szCs w:val="22"/>
          <w:lang w:val="en-US"/>
        </w:rPr>
        <w:t>words:</w:t>
      </w:r>
      <w:r w:rsidR="002874FB" w:rsidRPr="00C776AA">
        <w:rPr>
          <w:szCs w:val="22"/>
          <w:lang w:val="en-US"/>
        </w:rPr>
        <w:t xml:space="preserve"> Defuzzification, fuzzy logic, transitional climate risks, risk matrix, computational model </w:t>
      </w:r>
    </w:p>
    <w:p w14:paraId="7205EE8B" w14:textId="77777777" w:rsidR="00E3221B" w:rsidRPr="00BF624B" w:rsidRDefault="00E3221B" w:rsidP="004D533A">
      <w:pPr>
        <w:pStyle w:val="Ttulo1"/>
      </w:pPr>
      <w:bookmarkStart w:id="1" w:name="_Toc149994736"/>
      <w:r w:rsidRPr="00BF624B">
        <w:lastRenderedPageBreak/>
        <w:t>Introducción</w:t>
      </w:r>
      <w:bookmarkEnd w:id="1"/>
    </w:p>
    <w:p w14:paraId="55C41347" w14:textId="1A27C98F" w:rsidR="00BB6E11" w:rsidRDefault="00BF624B" w:rsidP="004261FD">
      <w:pPr>
        <w:spacing w:line="360" w:lineRule="auto"/>
        <w:jc w:val="both"/>
        <w:rPr>
          <w:iCs/>
          <w:szCs w:val="24"/>
        </w:rPr>
      </w:pPr>
      <w:r>
        <w:rPr>
          <w:iCs/>
          <w:szCs w:val="24"/>
        </w:rPr>
        <w:t>Desde que se comenzó a reconocer el cambio climático como una problemática que puede afectar tanto a persona</w:t>
      </w:r>
      <w:r w:rsidR="00B00F6C">
        <w:rPr>
          <w:iCs/>
          <w:szCs w:val="24"/>
        </w:rPr>
        <w:t>s</w:t>
      </w:r>
      <w:r>
        <w:rPr>
          <w:iCs/>
          <w:szCs w:val="24"/>
        </w:rPr>
        <w:t xml:space="preserve">, como a naciones y organizaciones, han surgido diversos métodos y herramientas cuyo propósito es mitigar al máximo el impacto </w:t>
      </w:r>
      <w:r w:rsidR="00B00F6C">
        <w:rPr>
          <w:iCs/>
          <w:szCs w:val="24"/>
        </w:rPr>
        <w:t xml:space="preserve">negativo </w:t>
      </w:r>
      <w:r>
        <w:rPr>
          <w:iCs/>
          <w:szCs w:val="24"/>
        </w:rPr>
        <w:t>de estos cambios climáticos</w:t>
      </w:r>
      <w:r w:rsidR="008774A4">
        <w:rPr>
          <w:iCs/>
          <w:szCs w:val="24"/>
        </w:rPr>
        <w:t xml:space="preserve"> </w:t>
      </w:r>
      <w:r w:rsidR="008774A4">
        <w:rPr>
          <w:iCs/>
          <w:szCs w:val="24"/>
        </w:rPr>
        <w:fldChar w:fldCharType="begin" w:fldLock="1"/>
      </w:r>
      <w:r w:rsidR="008774A4">
        <w:rPr>
          <w:iCs/>
          <w:szCs w:val="24"/>
        </w:rPr>
        <w:instrText>ADDIN CSL_CITATION {"citationItems":[{"id":"ITEM-1","itemData":{"DOI":"10.1016/j.crm.2014.02.003","ISSN":"22120963","author":[{"dropping-particle":"","family":"Travis","given":"William R.","non-dropping-particle":"","parse-names":false,"suffix":""},{"dropping-particle":"","family":"Bates","given":"Bryson","non-dropping-particle":"","parse-names":false,"suffix":""}],"container-title":"Climate Risk Management","id":"ITEM-1","issued":{"date-parts":[["2014"]]},"page":"1-4","title":"What is climate risk management?","type":"article-journal","volume":"1"},"uris":["http://www.mendeley.com/documents/?uuid=5b8d44ba-080d-4f9d-bb16-540fbd6ce31c"]}],"mendeley":{"formattedCitation":"(Travis &amp; Bates, 2014)","plainTextFormattedCitation":"(Travis &amp; Bates, 2014)","previouslyFormattedCitation":"(Travis &amp; Bates, 2014)"},"properties":{"noteIndex":0},"schema":"https://github.com/citation-style-language/schema/raw/master/csl-citation.json"}</w:instrText>
      </w:r>
      <w:r w:rsidR="008774A4">
        <w:rPr>
          <w:iCs/>
          <w:szCs w:val="24"/>
        </w:rPr>
        <w:fldChar w:fldCharType="separate"/>
      </w:r>
      <w:r w:rsidR="008774A4" w:rsidRPr="008774A4">
        <w:rPr>
          <w:iCs/>
          <w:noProof/>
          <w:szCs w:val="24"/>
        </w:rPr>
        <w:t>(Travis &amp; Bates, 2014)</w:t>
      </w:r>
      <w:r w:rsidR="008774A4">
        <w:rPr>
          <w:iCs/>
          <w:szCs w:val="24"/>
        </w:rPr>
        <w:fldChar w:fldCharType="end"/>
      </w:r>
      <w:r>
        <w:rPr>
          <w:iCs/>
          <w:szCs w:val="24"/>
        </w:rPr>
        <w:t xml:space="preserve">. </w:t>
      </w:r>
      <w:r w:rsidR="00C776AA">
        <w:rPr>
          <w:iCs/>
          <w:szCs w:val="24"/>
        </w:rPr>
        <w:t xml:space="preserve">Sin embargo, la gestión de riesgo que se ha llevado a cabo tradicionalmente en el campo </w:t>
      </w:r>
      <w:r w:rsidR="000D1F7B">
        <w:rPr>
          <w:iCs/>
          <w:szCs w:val="24"/>
        </w:rPr>
        <w:t xml:space="preserve">del cambio </w:t>
      </w:r>
      <w:r w:rsidR="00C776AA">
        <w:rPr>
          <w:iCs/>
          <w:szCs w:val="24"/>
        </w:rPr>
        <w:t xml:space="preserve">climático no es capaz de atender a las más severas y contundentes problemáticas que han surgido recientemente. Muchas empresas </w:t>
      </w:r>
      <w:r w:rsidR="004D533A">
        <w:rPr>
          <w:iCs/>
          <w:szCs w:val="24"/>
        </w:rPr>
        <w:t>aún</w:t>
      </w:r>
      <w:r w:rsidR="00C776AA">
        <w:rPr>
          <w:iCs/>
          <w:szCs w:val="24"/>
        </w:rPr>
        <w:t xml:space="preserve"> carecen de herramientas pertinentes</w:t>
      </w:r>
      <w:r w:rsidR="008763E4">
        <w:rPr>
          <w:iCs/>
          <w:szCs w:val="24"/>
        </w:rPr>
        <w:t xml:space="preserve"> y eficientes</w:t>
      </w:r>
      <w:r w:rsidR="00C776AA">
        <w:rPr>
          <w:iCs/>
          <w:szCs w:val="24"/>
        </w:rPr>
        <w:t xml:space="preserve"> para </w:t>
      </w:r>
      <w:r w:rsidR="008763E4">
        <w:rPr>
          <w:iCs/>
          <w:szCs w:val="24"/>
        </w:rPr>
        <w:t>combatir</w:t>
      </w:r>
      <w:r w:rsidR="00C776AA">
        <w:rPr>
          <w:iCs/>
          <w:szCs w:val="24"/>
        </w:rPr>
        <w:t xml:space="preserve"> estas problemáticas</w:t>
      </w:r>
      <w:r w:rsidR="00F26254">
        <w:rPr>
          <w:iCs/>
          <w:szCs w:val="24"/>
        </w:rPr>
        <w:t xml:space="preserve"> </w:t>
      </w:r>
      <w:r w:rsidR="00F26254" w:rsidRPr="006C6D6A">
        <w:fldChar w:fldCharType="begin" w:fldLock="1"/>
      </w:r>
      <w:r w:rsidR="00F26254" w:rsidRPr="006C6D6A">
        <w:instrText>ADDIN CSL_CITATION {"citationItems":[{"id":"ITEM-1","itemData":{"DOI":"10.1007/s00521-020-05510-5","ISBN":"0123456789","ISSN":"14333058","abstract":"As the big data, Internet of Things, cloud computing, and other ideas and technologies are integrated into social life, the big data technology can improve the corporate financial data processing. At the same time, with the fiercer competition between enterprises, investors and enterprises have paid more attention to the role of financial crisis warning in corporate management. The work selected the multiple financial indicators based on big data mining in Internet of Things. The rules between all financial indicators were found to choose more representative financial risk indicators. Then the frequent fuzzy option set was determined by FCM (fuzzy cluster method), parallel rules, and parallel mining algorithm, thus obtaining the fuzzy association rules that satisfy the minimum fuzzy credibility. Finally, the relevant data of listed companies were selected to analyze the corporate financial risks, which verified the method proposed in the work.","author":[{"dropping-particle":"","family":"Shang","given":"Hongyu","non-dropping-particle":"","parse-names":false,"suffix":""},{"dropping-particle":"","family":"Lu","given":"Duan","non-dropping-particle":"","parse-names":false,"suffix":""},{"dropping-particle":"","family":"Zhou","given":"Qingyuan","non-dropping-particle":"","parse-names":false,"suffix":""}],"container-title":"Neural Computing and Applications","id":"ITEM-1","issue":"9","issued":{"date-parts":[["2021"]]},"page":"3901-3909","publisher":"Springer London","title":"Early warning of enterprise finance risk of big data mining in internet of things based on fuzzy association rules","type":"article-journal","volume":"33"},"uris":["http://www.mendeley.com/documents/?uuid=a11b764a-2028-4aaf-b7ec-600d53efb50d"]}],"mendeley":{"formattedCitation":"(Shang, Lu, &amp; Zhou, 2021)","plainTextFormattedCitation":"(Shang, Lu, &amp; Zhou, 2021)","previouslyFormattedCitation":"(Shang, Lu, &amp; Zhou, 2021)"},"properties":{"noteIndex":0},"schema":"https://github.com/citation-style-language/schema/raw/master/csl-citation.json"}</w:instrText>
      </w:r>
      <w:r w:rsidR="00F26254" w:rsidRPr="006C6D6A">
        <w:fldChar w:fldCharType="separate"/>
      </w:r>
      <w:r w:rsidR="00F26254" w:rsidRPr="006C6D6A">
        <w:rPr>
          <w:noProof/>
        </w:rPr>
        <w:t>(Shang, Lu, &amp; Zhou, 2021)</w:t>
      </w:r>
      <w:r w:rsidR="00F26254" w:rsidRPr="006C6D6A">
        <w:fldChar w:fldCharType="end"/>
      </w:r>
      <w:r w:rsidR="008763E4">
        <w:rPr>
          <w:iCs/>
          <w:szCs w:val="24"/>
        </w:rPr>
        <w:t>.</w:t>
      </w:r>
      <w:r w:rsidR="00F26254">
        <w:rPr>
          <w:iCs/>
          <w:szCs w:val="24"/>
        </w:rPr>
        <w:t xml:space="preserve"> </w:t>
      </w:r>
    </w:p>
    <w:p w14:paraId="35884647" w14:textId="1C0772D2" w:rsidR="00D06F8C" w:rsidRDefault="00D06F8C" w:rsidP="004261FD">
      <w:pPr>
        <w:spacing w:line="360" w:lineRule="auto"/>
        <w:jc w:val="both"/>
        <w:rPr>
          <w:iCs/>
          <w:szCs w:val="24"/>
        </w:rPr>
      </w:pPr>
      <w:r>
        <w:rPr>
          <w:iCs/>
          <w:szCs w:val="24"/>
        </w:rPr>
        <w:t>Recientemente, se han venido utilizando herramientas y algoritmos que permiten hacer el análisis, la gestión y el control de los riesgos. La lógica difusa es una de las favoritas de los expertos</w:t>
      </w:r>
      <w:r w:rsidR="008774A4">
        <w:rPr>
          <w:iCs/>
          <w:szCs w:val="24"/>
        </w:rPr>
        <w:t xml:space="preserve"> </w:t>
      </w:r>
      <w:r w:rsidR="008774A4">
        <w:rPr>
          <w:iCs/>
          <w:szCs w:val="24"/>
        </w:rPr>
        <w:fldChar w:fldCharType="begin" w:fldLock="1"/>
      </w:r>
      <w:r w:rsidR="00BC7BB0">
        <w:rPr>
          <w:iCs/>
          <w:szCs w:val="24"/>
        </w:rPr>
        <w:instrText>ADDIN CSL_CITATION {"citationItems":[{"id":"ITEM-1","itemData":{"DOI":"10.1016/j.jhazmat.2008.03.055","ISSN":"03043894","PMID":"18440700","abstract":"A risk matrix is a mechanism to characterize and rank process risks that are typically identified through one or more multifunctional reviews (e.g., process hazard analysis, audits, or incident investigation). This paper describes a procedure for developing a fuzzy risk matrix that may be used for emerging fuzzy logic applications in different safety analyses (e.g., LOPA). The fuzzification of frequency and severity of the consequences of the incident scenario are described which are basic inputs for fuzzy risk matrix. Subsequently using different design of risk matrix, fuzzy rules are established enabling the development of fuzzy risk matrices. Three types of fuzzy risk matrix have been developed (low-cost, standard, and high-cost), and using a distillation column case study, the effect of the design on final defuzzified risk index is demonstrated. © 2008 Elsevier B.V. All rights reserved.","author":[{"dropping-particle":"","family":"Markowski","given":"Adam S.","non-dropping-particle":"","parse-names":false,"suffix":""},{"dropping-particle":"","family":"Mannan","given":"M. Sam","non-dropping-particle":"","parse-names":false,"suffix":""}],"container-title":"Journal of Hazardous Materials","id":"ITEM-1","issue":"1","issued":{"date-parts":[["2008"]]},"page":"152-157","title":"Fuzzy risk matrix","type":"article-journal","volume":"159"},"uris":["http://www.mendeley.com/documents/?uuid=5c2eb26f-5d00-456b-be9b-119186ef3b9d"]}],"mendeley":{"formattedCitation":"(Markowski &amp; Mannan, 2008)","plainTextFormattedCitation":"(Markowski &amp; Mannan, 2008)","previouslyFormattedCitation":"(Markowski &amp; Mannan, 2008)"},"properties":{"noteIndex":0},"schema":"https://github.com/citation-style-language/schema/raw/master/csl-citation.json"}</w:instrText>
      </w:r>
      <w:r w:rsidR="008774A4">
        <w:rPr>
          <w:iCs/>
          <w:szCs w:val="24"/>
        </w:rPr>
        <w:fldChar w:fldCharType="separate"/>
      </w:r>
      <w:r w:rsidR="008774A4" w:rsidRPr="008774A4">
        <w:rPr>
          <w:iCs/>
          <w:noProof/>
          <w:szCs w:val="24"/>
        </w:rPr>
        <w:t>(Markowski &amp; Mannan, 2008)</w:t>
      </w:r>
      <w:r w:rsidR="008774A4">
        <w:rPr>
          <w:iCs/>
          <w:szCs w:val="24"/>
        </w:rPr>
        <w:fldChar w:fldCharType="end"/>
      </w:r>
      <w:r>
        <w:rPr>
          <w:iCs/>
          <w:szCs w:val="24"/>
        </w:rPr>
        <w:t>, por su cualidad de traducir variables lingüísticas cualitativas en datos cuantitativos.</w:t>
      </w:r>
    </w:p>
    <w:p w14:paraId="2DEAF3B0" w14:textId="7742CF25" w:rsidR="00D06F8C" w:rsidRDefault="00D06F8C" w:rsidP="00D06F8C">
      <w:pPr>
        <w:spacing w:line="360" w:lineRule="auto"/>
        <w:jc w:val="both"/>
        <w:rPr>
          <w:iCs/>
          <w:szCs w:val="24"/>
        </w:rPr>
      </w:pPr>
      <w:r>
        <w:rPr>
          <w:iCs/>
          <w:szCs w:val="24"/>
        </w:rPr>
        <w:t>A esto, se le suman herramientas de toma de decisiones como TOPSIS o ELECTRE, que recientemente se han usado en relación con la lógica difusa</w:t>
      </w:r>
      <w:r w:rsidR="00BC7BB0">
        <w:rPr>
          <w:iCs/>
          <w:szCs w:val="24"/>
        </w:rPr>
        <w:t xml:space="preserve"> </w:t>
      </w:r>
      <w:r w:rsidR="00BC7BB0">
        <w:rPr>
          <w:iCs/>
          <w:szCs w:val="24"/>
        </w:rPr>
        <w:fldChar w:fldCharType="begin" w:fldLock="1"/>
      </w:r>
      <w:r w:rsidR="004D7984">
        <w:rPr>
          <w:iCs/>
          <w:szCs w:val="24"/>
        </w:rPr>
        <w:instrText>ADDIN CSL_CITATION {"citationItems":[{"id":"ITEM-1","itemData":{"DOI":"10.1016/j.eswa.2012.08.013","abstract":"This study develops a framework to quantify the flood risk vulnerability in South Korea by considering climate change impacts. On the basis of the concept of exposure-sensitivity-adaptive capacity, 21 proxy variables are selected and screened, and their weights are determined for their objectivity by using the Delphi technique. The data from 16 provinces of South Korea and the weighting values of all proxy variables are fuzzified to consider uncertainty. In addition, the National Center for Atmosphere Research Community Climate System Model 3 (CCSM3) in conjunction with the Intergovernmental Panel on Climate Change (IPCC) Special Report on Emission Scenario (SRES) A1B, A2, B1, A1T, A1FI, and B2 are used for future climate data (2020s, 2050s, and 2080s). Therefore, 19 flood risk vulnerabilities of South Korea, including present conditions, are quantitatively evaluated and compared. Three Multi-Criteria Decision Making (MCDM) techniques-Weighted Sum Method (WSM), Technique for Order Preference by Similarity to Ideal Situation (TOPSIS), and fuzzy TOPSIS-are used to quantify all spatial vulnerabilities. As a result, some fuzzy TOPSIS rankings are quite different to those of WSM and TOPSIS, and the ranking patterns of the 19 climate change scenarios are also derived in a dissimilar way. In addition, if the variances of the provinces' rankings are considered, some provinces showing low values can plan their climate change adaptation strategies by taking into consideration their relatively certain rankings. In the end, the vulnerability assessment for climate change should consider not only various MCDM techniques but also the uncertainty of weighting values and proxy variable data.","author":[{"dropping-particle":"","family":"Jun","given":"Kyung-Soo","non-dropping-particle":"","parse-names":false,"suffix":""},{"dropping-particle":"","family":"Chung","given":"Eun-Sung","non-dropping-particle":"","parse-names":false,"suffix":""},{"dropping-particle":"","family":"Kim","given":"Young-Gyu","non-dropping-particle":"","parse-names":false,"suffix":""},{"dropping-particle":"","family":"Kim","given":"Yeonjoo","non-dropping-particle":"","parse-names":false,"suffix":""}],"id":"ITEM-1","issued":{"date-parts":[["0"]]},"title":"A fuzzy multi-criteria approach to flood risk vulnerability in South Korea by considering climate change impacts","type":"article-journal"},"uris":["http://www.mendeley.com/documents/?uuid=f7b5fd49-eda5-3703-8934-20f7b707e5b4"]}],"mendeley":{"formattedCitation":"(K.-S. Jun, Chung, Kim, &amp; Kim, n.d.)","plainTextFormattedCitation":"(K.-S. Jun, Chung, Kim, &amp; Kim, n.d.)","previouslyFormattedCitation":"(K.-S. Jun, Chung, Kim, &amp; Kim, n.d.)"},"properties":{"noteIndex":0},"schema":"https://github.com/citation-style-language/schema/raw/master/csl-citation.json"}</w:instrText>
      </w:r>
      <w:r w:rsidR="00BC7BB0">
        <w:rPr>
          <w:iCs/>
          <w:szCs w:val="24"/>
        </w:rPr>
        <w:fldChar w:fldCharType="separate"/>
      </w:r>
      <w:r w:rsidR="00BC7BB0" w:rsidRPr="00BC7BB0">
        <w:rPr>
          <w:iCs/>
          <w:noProof/>
          <w:szCs w:val="24"/>
        </w:rPr>
        <w:t>(K.-S. Jun, Chung, Kim, &amp; Kim, n.d.)</w:t>
      </w:r>
      <w:r w:rsidR="00BC7BB0">
        <w:rPr>
          <w:iCs/>
          <w:szCs w:val="24"/>
        </w:rPr>
        <w:fldChar w:fldCharType="end"/>
      </w:r>
      <w:r>
        <w:rPr>
          <w:iCs/>
          <w:szCs w:val="24"/>
        </w:rPr>
        <w:t>, y generan como resultado herramientas y algoritmos, a través de los cuales las organizaciones pueden atender mejor las problemáticas climáticas.</w:t>
      </w:r>
    </w:p>
    <w:p w14:paraId="0432FF45" w14:textId="15937A35" w:rsidR="00D35470" w:rsidRDefault="00F26254" w:rsidP="00D06F8C">
      <w:pPr>
        <w:spacing w:line="360" w:lineRule="auto"/>
        <w:jc w:val="both"/>
        <w:rPr>
          <w:iCs/>
          <w:szCs w:val="24"/>
        </w:rPr>
      </w:pPr>
      <w:r w:rsidRPr="00D06F8C">
        <w:rPr>
          <w:iCs/>
          <w:szCs w:val="24"/>
        </w:rPr>
        <w:t>Por tal motivo, en el presente trabajo se propone elaborar una matriz de riesgos a través del uso de un modelo computacional basado en lógica difusa, capaz de clasificar acertadamente los riesgos climáticos de transición según su frecuencia y severidad</w:t>
      </w:r>
      <w:r w:rsidR="000D1F7B" w:rsidRPr="00D06F8C">
        <w:rPr>
          <w:iCs/>
          <w:szCs w:val="24"/>
        </w:rPr>
        <w:t>, y disminuyendo la incertidumbre de este proceso</w:t>
      </w:r>
      <w:r w:rsidRPr="00D06F8C">
        <w:rPr>
          <w:iCs/>
          <w:szCs w:val="24"/>
        </w:rPr>
        <w:t>.</w:t>
      </w:r>
    </w:p>
    <w:p w14:paraId="2F9CEEA5" w14:textId="2DB62023" w:rsidR="00682C83" w:rsidRDefault="00D35470" w:rsidP="00D06F8C">
      <w:pPr>
        <w:spacing w:line="360" w:lineRule="auto"/>
        <w:jc w:val="both"/>
        <w:rPr>
          <w:iCs/>
          <w:szCs w:val="24"/>
        </w:rPr>
      </w:pPr>
      <w:r>
        <w:rPr>
          <w:iCs/>
          <w:szCs w:val="24"/>
        </w:rPr>
        <w:t>Dentro del presente documento, se encontrará el planteamiento del problema, donde el lector podrá corroborar tanto la existencia de una problemática a solucionar, como la justificación de esta aproximación al problema en específico. Posteriormente, el lector verá los objetivos, tanto el general como los específicos qu</w:t>
      </w:r>
      <w:r w:rsidR="000756F0">
        <w:rPr>
          <w:iCs/>
          <w:szCs w:val="24"/>
        </w:rPr>
        <w:t xml:space="preserve">e mostrarán lo que se quiere lograr mediante el presente </w:t>
      </w:r>
      <w:r w:rsidR="000756F0">
        <w:rPr>
          <w:iCs/>
          <w:szCs w:val="24"/>
        </w:rPr>
        <w:lastRenderedPageBreak/>
        <w:t>documento.</w:t>
      </w:r>
      <w:r w:rsidR="00682C83" w:rsidRPr="00682C83">
        <w:rPr>
          <w:iCs/>
          <w:szCs w:val="24"/>
        </w:rPr>
        <w:t xml:space="preserve"> </w:t>
      </w:r>
      <w:r w:rsidR="00682C83">
        <w:rPr>
          <w:iCs/>
          <w:szCs w:val="24"/>
        </w:rPr>
        <w:t>Luego se encontrará con el marco de referencia, donde estará tanto el estado del arte de este campo del conocimiento, como algunas definiciones y conceptos relevantes para el entendimiento general del problema y la solución planteada. Posteriormente, el lector encontrará la metodología, donde se anuncia c</w:t>
      </w:r>
      <w:r w:rsidR="00BB6E11">
        <w:rPr>
          <w:iCs/>
          <w:szCs w:val="24"/>
        </w:rPr>
        <w:t>ó</w:t>
      </w:r>
      <w:r w:rsidR="00682C83">
        <w:rPr>
          <w:iCs/>
          <w:szCs w:val="24"/>
        </w:rPr>
        <w:t xml:space="preserve">mo se va a lograr la consecución de los objetivos. De manera clara se explica con un paso a paso lo que se realizará. A posteriori, el lector encontrará los resultados, donde se ejecuta el procedimiento enunciado en la metodología y se realiza todo lo planteado anteriormente. Por </w:t>
      </w:r>
      <w:r w:rsidR="005133DC">
        <w:rPr>
          <w:iCs/>
          <w:szCs w:val="24"/>
        </w:rPr>
        <w:t>último,</w:t>
      </w:r>
      <w:r w:rsidR="00682C83">
        <w:rPr>
          <w:iCs/>
          <w:szCs w:val="24"/>
        </w:rPr>
        <w:t xml:space="preserve"> se plantean las conclusiones y consideraciones, donde se podrá analizar las reflexiones fruto del trabajo realizado, y las sugerencias para posteriores proyectos.</w:t>
      </w:r>
    </w:p>
    <w:p w14:paraId="0D49835F" w14:textId="59848D71" w:rsidR="00682C83" w:rsidRPr="002874FB" w:rsidRDefault="00682C83" w:rsidP="00D06F8C">
      <w:pPr>
        <w:spacing w:line="360" w:lineRule="auto"/>
        <w:jc w:val="both"/>
        <w:rPr>
          <w:iCs/>
          <w:szCs w:val="24"/>
        </w:rPr>
      </w:pPr>
      <w:r>
        <w:rPr>
          <w:iCs/>
          <w:szCs w:val="24"/>
        </w:rPr>
        <w:t>Se recomienda al lector que, con el propósito de realizar una lectura eficiente y nutritiva, revise el marco teórico siempre que se encuentre con un concepto del cual quizás no conozca. De igual manera, prestar atención en los antecedentes será crucial para comprender mejor en qu</w:t>
      </w:r>
      <w:r w:rsidR="00BB6E11">
        <w:rPr>
          <w:iCs/>
          <w:szCs w:val="24"/>
        </w:rPr>
        <w:t>é</w:t>
      </w:r>
      <w:r>
        <w:rPr>
          <w:iCs/>
          <w:szCs w:val="24"/>
        </w:rPr>
        <w:t xml:space="preserve"> consiste esta área del conocimiento, y c</w:t>
      </w:r>
      <w:r w:rsidR="00BB6E11">
        <w:rPr>
          <w:iCs/>
          <w:szCs w:val="24"/>
        </w:rPr>
        <w:t>ó</w:t>
      </w:r>
      <w:r>
        <w:rPr>
          <w:iCs/>
          <w:szCs w:val="24"/>
        </w:rPr>
        <w:t xml:space="preserve">mo el presente proyecto pretende aportar a dicha área. Por </w:t>
      </w:r>
      <w:r w:rsidR="00743A6D">
        <w:rPr>
          <w:iCs/>
          <w:szCs w:val="24"/>
        </w:rPr>
        <w:t>último</w:t>
      </w:r>
      <w:r>
        <w:rPr>
          <w:iCs/>
          <w:szCs w:val="24"/>
        </w:rPr>
        <w:t>, se rec</w:t>
      </w:r>
      <w:r w:rsidR="00743A6D">
        <w:rPr>
          <w:iCs/>
          <w:szCs w:val="24"/>
        </w:rPr>
        <w:t xml:space="preserve">omienda al lector revisar la metodología a medida que se avanza con los resultados, de tal forma que se pueda ver una continuidad lineal en la estructura del trabajo y sea </w:t>
      </w:r>
      <w:r w:rsidR="004D533A">
        <w:rPr>
          <w:iCs/>
          <w:szCs w:val="24"/>
        </w:rPr>
        <w:t>más</w:t>
      </w:r>
      <w:r w:rsidR="00743A6D">
        <w:rPr>
          <w:iCs/>
          <w:szCs w:val="24"/>
        </w:rPr>
        <w:t xml:space="preserve"> sencilla la comprensión de </w:t>
      </w:r>
      <w:r w:rsidR="00BB6E11">
        <w:rPr>
          <w:iCs/>
          <w:szCs w:val="24"/>
        </w:rPr>
        <w:t>é</w:t>
      </w:r>
      <w:r w:rsidR="00743A6D">
        <w:rPr>
          <w:iCs/>
          <w:szCs w:val="24"/>
        </w:rPr>
        <w:t>ste.</w:t>
      </w:r>
    </w:p>
    <w:p w14:paraId="52BD4944" w14:textId="77777777" w:rsidR="00E87F40" w:rsidRPr="00C74129" w:rsidRDefault="00E87F40" w:rsidP="00D06F8C">
      <w:pPr>
        <w:jc w:val="both"/>
        <w:rPr>
          <w:i/>
          <w:color w:val="0000FF"/>
          <w:sz w:val="20"/>
        </w:rPr>
      </w:pPr>
    </w:p>
    <w:p w14:paraId="42B0A652" w14:textId="77777777" w:rsidR="00235E42" w:rsidRPr="004D533A" w:rsidRDefault="00235E42" w:rsidP="004D533A">
      <w:pPr>
        <w:pStyle w:val="Ttulo1"/>
      </w:pPr>
      <w:bookmarkStart w:id="2" w:name="_Toc149994737"/>
      <w:r w:rsidRPr="004D533A">
        <w:lastRenderedPageBreak/>
        <w:t>Preliminare</w:t>
      </w:r>
      <w:bookmarkStart w:id="3" w:name="_Toc112662800"/>
      <w:r w:rsidRPr="004D533A">
        <w:t>s</w:t>
      </w:r>
      <w:bookmarkEnd w:id="2"/>
      <w:bookmarkEnd w:id="3"/>
    </w:p>
    <w:p w14:paraId="4FC19EC6" w14:textId="5F01656A" w:rsidR="001E62C9" w:rsidRDefault="005A45F6" w:rsidP="00235E42">
      <w:pPr>
        <w:pStyle w:val="Ttulo2"/>
      </w:pPr>
      <w:bookmarkStart w:id="4" w:name="_Toc277749582"/>
      <w:bookmarkStart w:id="5" w:name="_Toc149994738"/>
      <w:r w:rsidRPr="005648DA">
        <w:t>Planteamiento del problema</w:t>
      </w:r>
      <w:bookmarkEnd w:id="4"/>
      <w:bookmarkEnd w:id="5"/>
    </w:p>
    <w:p w14:paraId="539C6E65" w14:textId="10C1900C" w:rsidR="006C6D6A" w:rsidRPr="006C6D6A" w:rsidRDefault="006C6D6A" w:rsidP="006C6D6A">
      <w:pPr>
        <w:pStyle w:val="Ttulo3"/>
      </w:pPr>
      <w:bookmarkStart w:id="6" w:name="_Toc149994739"/>
      <w:r>
        <w:t>Formulación del problema</w:t>
      </w:r>
      <w:bookmarkEnd w:id="6"/>
    </w:p>
    <w:p w14:paraId="3AC046D5" w14:textId="4EBBE335" w:rsidR="006C6D6A" w:rsidRPr="00F55522" w:rsidRDefault="006C6D6A" w:rsidP="00D06F8C">
      <w:pPr>
        <w:pStyle w:val="Sugerencias"/>
        <w:spacing w:line="360" w:lineRule="auto"/>
        <w:jc w:val="both"/>
        <w:rPr>
          <w:rFonts w:cs="Arial"/>
          <w:i w:val="0"/>
          <w:iCs/>
          <w:color w:val="000000"/>
          <w:sz w:val="24"/>
          <w:szCs w:val="24"/>
        </w:rPr>
      </w:pPr>
      <w:r w:rsidRPr="00F55522">
        <w:rPr>
          <w:rFonts w:cs="Arial"/>
          <w:i w:val="0"/>
          <w:iCs/>
          <w:color w:val="auto"/>
          <w:sz w:val="24"/>
          <w:szCs w:val="24"/>
        </w:rPr>
        <w:t xml:space="preserve">En los últimos años, un tema recurrente que ha sido determinante a nivel económico, político y sociocultural ha sido el cambio climático. Tanto es así que la </w:t>
      </w:r>
      <w:r w:rsidR="000D1F7B" w:rsidRPr="00F55522">
        <w:rPr>
          <w:rFonts w:cs="Arial"/>
          <w:i w:val="0"/>
          <w:iCs/>
          <w:color w:val="auto"/>
          <w:sz w:val="24"/>
          <w:szCs w:val="24"/>
        </w:rPr>
        <w:t xml:space="preserve">Organización para la </w:t>
      </w:r>
      <w:r w:rsidR="00680E8D">
        <w:rPr>
          <w:rFonts w:cs="Arial"/>
          <w:i w:val="0"/>
          <w:iCs/>
          <w:color w:val="auto"/>
          <w:sz w:val="24"/>
          <w:szCs w:val="24"/>
        </w:rPr>
        <w:t>C</w:t>
      </w:r>
      <w:r w:rsidR="000D1F7B" w:rsidRPr="00F55522">
        <w:rPr>
          <w:rFonts w:cs="Arial"/>
          <w:i w:val="0"/>
          <w:iCs/>
          <w:color w:val="auto"/>
          <w:sz w:val="24"/>
          <w:szCs w:val="24"/>
        </w:rPr>
        <w:t xml:space="preserve">ooperación y </w:t>
      </w:r>
      <w:r w:rsidR="00680E8D">
        <w:rPr>
          <w:rFonts w:cs="Arial"/>
          <w:i w:val="0"/>
          <w:iCs/>
          <w:color w:val="auto"/>
          <w:sz w:val="24"/>
          <w:szCs w:val="24"/>
        </w:rPr>
        <w:t>D</w:t>
      </w:r>
      <w:r w:rsidR="000D1F7B" w:rsidRPr="00F55522">
        <w:rPr>
          <w:rFonts w:cs="Arial"/>
          <w:i w:val="0"/>
          <w:iCs/>
          <w:color w:val="auto"/>
          <w:sz w:val="24"/>
          <w:szCs w:val="24"/>
        </w:rPr>
        <w:t xml:space="preserve">esarrollo </w:t>
      </w:r>
      <w:r w:rsidR="00680E8D">
        <w:rPr>
          <w:rFonts w:cs="Arial"/>
          <w:i w:val="0"/>
          <w:iCs/>
          <w:color w:val="auto"/>
          <w:sz w:val="24"/>
          <w:szCs w:val="24"/>
        </w:rPr>
        <w:t>E</w:t>
      </w:r>
      <w:r w:rsidR="000D1F7B" w:rsidRPr="00F55522">
        <w:rPr>
          <w:rFonts w:cs="Arial"/>
          <w:i w:val="0"/>
          <w:iCs/>
          <w:color w:val="auto"/>
          <w:sz w:val="24"/>
          <w:szCs w:val="24"/>
        </w:rPr>
        <w:t xml:space="preserve">conómicos </w:t>
      </w:r>
      <w:r w:rsidR="000D1F7B">
        <w:rPr>
          <w:rFonts w:cs="Arial"/>
          <w:i w:val="0"/>
          <w:iCs/>
          <w:color w:val="auto"/>
          <w:sz w:val="24"/>
          <w:szCs w:val="24"/>
        </w:rPr>
        <w:t>(</w:t>
      </w:r>
      <w:r w:rsidRPr="00F55522">
        <w:rPr>
          <w:rFonts w:cs="Arial"/>
          <w:i w:val="0"/>
          <w:iCs/>
          <w:color w:val="auto"/>
          <w:sz w:val="24"/>
          <w:szCs w:val="24"/>
        </w:rPr>
        <w:t>OCDE</w:t>
      </w:r>
      <w:r w:rsidR="000D1F7B">
        <w:rPr>
          <w:rFonts w:cs="Arial"/>
          <w:i w:val="0"/>
          <w:iCs/>
          <w:color w:val="auto"/>
          <w:sz w:val="24"/>
          <w:szCs w:val="24"/>
        </w:rPr>
        <w:t>)</w:t>
      </w:r>
      <w:r w:rsidRPr="00F55522">
        <w:rPr>
          <w:rFonts w:cs="Arial"/>
          <w:i w:val="0"/>
          <w:iCs/>
          <w:color w:val="auto"/>
          <w:sz w:val="24"/>
          <w:szCs w:val="24"/>
        </w:rPr>
        <w:t xml:space="preserve"> ha propuesto una lista de 25 acciones fundamentales que podrían generar un impacto significativo hacia el año 2025 </w:t>
      </w:r>
      <w:sdt>
        <w:sdtPr>
          <w:rPr>
            <w:rFonts w:cs="Arial"/>
            <w:i w:val="0"/>
            <w:iCs/>
            <w:color w:val="000000"/>
            <w:sz w:val="24"/>
            <w:szCs w:val="24"/>
          </w:rPr>
          <w:tag w:val="MENDELEY_CITATION_v3_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"/>
          <w:id w:val="1602617538"/>
          <w:placeholder>
            <w:docPart w:val="45543DA14F4149B6B4841DF7D2D31438"/>
          </w:placeholder>
        </w:sdtPr>
        <w:sdtContent>
          <w:r w:rsidRPr="00F55522">
            <w:rPr>
              <w:rFonts w:cs="Arial"/>
              <w:i w:val="0"/>
              <w:iCs/>
              <w:color w:val="000000"/>
              <w:sz w:val="24"/>
              <w:szCs w:val="24"/>
            </w:rPr>
            <w:t>(OECD, 2021).</w:t>
          </w:r>
        </w:sdtContent>
      </w:sdt>
      <w:r w:rsidRPr="00F55522">
        <w:rPr>
          <w:rFonts w:cs="Arial"/>
          <w:i w:val="0"/>
          <w:iCs/>
          <w:color w:val="000000"/>
          <w:sz w:val="24"/>
          <w:szCs w:val="24"/>
        </w:rPr>
        <w:t xml:space="preserve"> En esta iniciativa, estas acciones se encuentran divididas en 5 grandes sectores de la economía mundial que están fuertemente relacionados con los cambios climáticos que cada vez se presentan con más énfasis.</w:t>
      </w:r>
    </w:p>
    <w:p w14:paraId="7D6A3C22" w14:textId="44DC3764" w:rsidR="006C6D6A" w:rsidRPr="00F55522" w:rsidRDefault="006C6D6A" w:rsidP="00D06F8C">
      <w:pPr>
        <w:pStyle w:val="Sugerencias"/>
        <w:spacing w:line="360" w:lineRule="auto"/>
        <w:jc w:val="both"/>
        <w:rPr>
          <w:rFonts w:cs="Arial"/>
          <w:i w:val="0"/>
          <w:iCs/>
          <w:color w:val="000000"/>
          <w:sz w:val="24"/>
          <w:szCs w:val="24"/>
        </w:rPr>
      </w:pPr>
      <w:r w:rsidRPr="00F55522">
        <w:rPr>
          <w:rFonts w:cs="Arial"/>
          <w:i w:val="0"/>
          <w:iCs/>
          <w:color w:val="000000"/>
          <w:sz w:val="24"/>
          <w:szCs w:val="24"/>
        </w:rPr>
        <w:t xml:space="preserve">No es de extrañar entonces, que los gobiernos, entidades gubernamentales, fundaciones y organizaciones, se hayan puesto como meta combatir este fenómeno mundial. Además de los evidentes problemas que generan estas contingencias ambientales, es posible evidenciar que estas variables generan un impacto sobre los estados financieros de las organizaciones </w:t>
      </w:r>
      <w:sdt>
        <w:sdtPr>
          <w:rPr>
            <w:rFonts w:cs="Arial"/>
            <w:i w:val="0"/>
            <w:iCs/>
            <w:color w:val="000000"/>
            <w:sz w:val="24"/>
            <w:szCs w:val="24"/>
          </w:rPr>
          <w:tag w:val="MENDELEY_CITATION_v3_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"/>
          <w:id w:val="-644897108"/>
          <w:placeholder>
            <w:docPart w:val="45543DA14F4149B6B4841DF7D2D31438"/>
          </w:placeholder>
        </w:sdtPr>
        <w:sdtContent>
          <w:r w:rsidRPr="00F55522">
            <w:rPr>
              <w:rFonts w:cs="Arial"/>
              <w:i w:val="0"/>
              <w:iCs/>
              <w:color w:val="000000"/>
              <w:sz w:val="24"/>
              <w:szCs w:val="24"/>
            </w:rPr>
            <w:t>(</w:t>
          </w:r>
          <w:proofErr w:type="spellStart"/>
          <w:r w:rsidRPr="00F55522">
            <w:rPr>
              <w:rFonts w:cs="Arial"/>
              <w:i w:val="0"/>
              <w:iCs/>
              <w:color w:val="000000"/>
              <w:sz w:val="24"/>
              <w:szCs w:val="24"/>
            </w:rPr>
            <w:t>BlackRock</w:t>
          </w:r>
          <w:proofErr w:type="spellEnd"/>
          <w:r w:rsidRPr="00F55522">
            <w:rPr>
              <w:rFonts w:cs="Arial"/>
              <w:i w:val="0"/>
              <w:iCs/>
              <w:color w:val="000000"/>
              <w:sz w:val="24"/>
              <w:szCs w:val="24"/>
            </w:rPr>
            <w:t>, 2020)</w:t>
          </w:r>
        </w:sdtContent>
      </w:sdt>
      <w:r w:rsidRPr="00F55522">
        <w:rPr>
          <w:rFonts w:cs="Arial"/>
          <w:i w:val="0"/>
          <w:iCs/>
          <w:color w:val="000000"/>
          <w:sz w:val="24"/>
          <w:szCs w:val="24"/>
        </w:rPr>
        <w:t xml:space="preserve">. Tanto es así, que cada vez se usa con más frecuencia en las empresas el término de gestión de riesgo climático, que hace referencia a un proceso organizacional encaminado a obtener y utilizar información con respecto a los cambios climáticos, para tomar decisiones que beneficien a la organización, ya sea a través de mantener los beneficios o </w:t>
      </w:r>
      <w:r w:rsidR="00BB6E11">
        <w:rPr>
          <w:rFonts w:cs="Arial"/>
          <w:i w:val="0"/>
          <w:iCs/>
          <w:color w:val="000000"/>
          <w:sz w:val="24"/>
          <w:szCs w:val="24"/>
        </w:rPr>
        <w:t xml:space="preserve">de </w:t>
      </w:r>
      <w:r w:rsidRPr="00F55522">
        <w:rPr>
          <w:rFonts w:cs="Arial"/>
          <w:i w:val="0"/>
          <w:iCs/>
          <w:color w:val="000000"/>
          <w:sz w:val="24"/>
          <w:szCs w:val="24"/>
        </w:rPr>
        <w:t xml:space="preserve">reducir los daños </w:t>
      </w:r>
      <w:sdt>
        <w:sdtPr>
          <w:rPr>
            <w:rFonts w:cs="Arial"/>
            <w:i w:val="0"/>
            <w:iCs/>
            <w:color w:val="000000"/>
            <w:sz w:val="24"/>
            <w:szCs w:val="24"/>
          </w:rPr>
          <w:tag w:val="MENDELEY_CITATION_v3_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"/>
          <w:id w:val="-1556920166"/>
          <w:placeholder>
            <w:docPart w:val="45543DA14F4149B6B4841DF7D2D31438"/>
          </w:placeholder>
        </w:sdtPr>
        <w:sdtContent>
          <w:r w:rsidRPr="00F55522">
            <w:rPr>
              <w:rFonts w:cs="Arial"/>
              <w:i w:val="0"/>
              <w:iCs/>
              <w:color w:val="000000"/>
              <w:sz w:val="24"/>
              <w:szCs w:val="24"/>
            </w:rPr>
            <w:t>(Travis &amp; Bates, 2014)</w:t>
          </w:r>
        </w:sdtContent>
      </w:sdt>
      <w:r w:rsidRPr="00F55522">
        <w:rPr>
          <w:rFonts w:cs="Arial"/>
          <w:i w:val="0"/>
          <w:iCs/>
          <w:color w:val="000000"/>
          <w:sz w:val="24"/>
          <w:szCs w:val="24"/>
        </w:rPr>
        <w:t xml:space="preserve">. </w:t>
      </w:r>
    </w:p>
    <w:p w14:paraId="6F91CDA0" w14:textId="2E20574B" w:rsidR="006C6D6A" w:rsidRPr="00F55522" w:rsidRDefault="006C6D6A" w:rsidP="00D06F8C">
      <w:pPr>
        <w:pStyle w:val="Sugerencias"/>
        <w:spacing w:line="360" w:lineRule="auto"/>
        <w:jc w:val="both"/>
        <w:rPr>
          <w:rFonts w:cs="Arial"/>
          <w:i w:val="0"/>
          <w:iCs/>
          <w:color w:val="000000"/>
          <w:sz w:val="24"/>
          <w:szCs w:val="24"/>
        </w:rPr>
      </w:pPr>
      <w:r w:rsidRPr="00F55522">
        <w:rPr>
          <w:rFonts w:cs="Arial"/>
          <w:i w:val="0"/>
          <w:iCs/>
          <w:color w:val="000000"/>
          <w:sz w:val="24"/>
          <w:szCs w:val="24"/>
        </w:rPr>
        <w:t>No obstante, para las organizaciones es difícil identificar relaciones directas, o aún peor, probar la relación entre un evento climático y su impacto sobre la organización. S</w:t>
      </w:r>
      <w:r w:rsidR="00BB6E11">
        <w:rPr>
          <w:rFonts w:cs="Arial"/>
          <w:i w:val="0"/>
          <w:iCs/>
          <w:color w:val="000000"/>
          <w:sz w:val="24"/>
          <w:szCs w:val="24"/>
        </w:rPr>
        <w:t>ó</w:t>
      </w:r>
      <w:r w:rsidRPr="00F55522">
        <w:rPr>
          <w:rFonts w:cs="Arial"/>
          <w:i w:val="0"/>
          <w:iCs/>
          <w:color w:val="000000"/>
          <w:sz w:val="24"/>
          <w:szCs w:val="24"/>
        </w:rPr>
        <w:t>lo el 2% de las organizaciones a nivel mundial cuantifican financieramente el riesgo climático</w:t>
      </w:r>
      <w:r w:rsidR="004D7984">
        <w:rPr>
          <w:rFonts w:cs="Arial"/>
          <w:i w:val="0"/>
          <w:iCs/>
          <w:color w:val="000000"/>
          <w:sz w:val="24"/>
          <w:szCs w:val="24"/>
        </w:rPr>
        <w:t xml:space="preserve"> </w:t>
      </w:r>
      <w:r w:rsidR="004D7984">
        <w:rPr>
          <w:rFonts w:cs="Arial"/>
          <w:i w:val="0"/>
          <w:iCs/>
          <w:color w:val="000000"/>
          <w:sz w:val="24"/>
          <w:szCs w:val="24"/>
        </w:rPr>
        <w:fldChar w:fldCharType="begin" w:fldLock="1"/>
      </w:r>
      <w:r w:rsidR="004D7984">
        <w:rPr>
          <w:rFonts w:cs="Arial"/>
          <w:i w:val="0"/>
          <w:iCs/>
          <w:color w:val="000000"/>
          <w:sz w:val="24"/>
          <w:szCs w:val="24"/>
        </w:rPr>
        <w:instrText>ADDIN CSL_CITATION {"citationItems":[{"id":"ITEM-1","itemData":{"author":[{"dropping-particle":"","family":"KPMG","given":"","non-dropping-particle":"","parse-names":false,"suffix":""}],"id":"ITEM-1","issued":{"date-parts":[["2019"]]},"title":"Vientos de cambio: La gestión de riesgos en el mundo digital","type":"article-journal"},"uris":["http://www.mendeley.com/documents/?uuid=2e24c693-014f-48f7-99a2-2194d2e7c8d6"]}],"mendeley":{"formattedCitation":"(KPMG, 2019)","plainTextFormattedCitation":"(KPMG, 2019)","previouslyFormattedCitation":"(KPMG, 2019)"},"properties":{"noteIndex":0},"schema":"https://github.com/citation-style-language/schema/raw/master/csl-citation.json"}</w:instrText>
      </w:r>
      <w:r w:rsidR="004D7984">
        <w:rPr>
          <w:rFonts w:cs="Arial"/>
          <w:i w:val="0"/>
          <w:iCs/>
          <w:color w:val="000000"/>
          <w:sz w:val="24"/>
          <w:szCs w:val="24"/>
        </w:rPr>
        <w:fldChar w:fldCharType="separate"/>
      </w:r>
      <w:r w:rsidR="004D7984" w:rsidRPr="004D7984">
        <w:rPr>
          <w:rFonts w:cs="Arial"/>
          <w:i w:val="0"/>
          <w:iCs/>
          <w:noProof/>
          <w:color w:val="000000"/>
          <w:sz w:val="24"/>
          <w:szCs w:val="24"/>
        </w:rPr>
        <w:t>(KPMG, 2019)</w:t>
      </w:r>
      <w:r w:rsidR="004D7984">
        <w:rPr>
          <w:rFonts w:cs="Arial"/>
          <w:i w:val="0"/>
          <w:iCs/>
          <w:color w:val="000000"/>
          <w:sz w:val="24"/>
          <w:szCs w:val="24"/>
        </w:rPr>
        <w:fldChar w:fldCharType="end"/>
      </w:r>
      <w:r w:rsidRPr="00F55522">
        <w:rPr>
          <w:rFonts w:cs="Arial"/>
          <w:i w:val="0"/>
          <w:iCs/>
          <w:color w:val="000000"/>
          <w:sz w:val="24"/>
          <w:szCs w:val="24"/>
        </w:rPr>
        <w:t xml:space="preserve">. En consecuencia, las acciones y las decisiones que se toman para mitigar, evadir y trasladar los riesgos derivados del clima en el sector empresarial, carecen de suficiente eficacia en la mayoría de los casos. A pesar de esto, las empresas cada vez más toman impulso en esta dirección, lo cual favorece el estatus económico de las compañías </w:t>
      </w:r>
      <w:sdt>
        <w:sdtPr>
          <w:rPr>
            <w:rFonts w:cs="Arial"/>
            <w:i w:val="0"/>
            <w:iCs/>
            <w:color w:val="000000"/>
            <w:sz w:val="24"/>
            <w:szCs w:val="24"/>
          </w:rPr>
          <w:tag w:val="MENDELEY_CITATION_v3_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"/>
          <w:id w:val="2036616212"/>
          <w:placeholder>
            <w:docPart w:val="45543DA14F4149B6B4841DF7D2D31438"/>
          </w:placeholder>
        </w:sdtPr>
        <w:sdtContent>
          <w:r w:rsidRPr="00F55522">
            <w:rPr>
              <w:rFonts w:cs="Arial"/>
              <w:i w:val="0"/>
              <w:iCs/>
              <w:color w:val="000000"/>
              <w:sz w:val="24"/>
              <w:szCs w:val="24"/>
            </w:rPr>
            <w:t>(</w:t>
          </w:r>
          <w:proofErr w:type="spellStart"/>
          <w:r w:rsidRPr="00F55522">
            <w:rPr>
              <w:rFonts w:cs="Arial"/>
              <w:i w:val="0"/>
              <w:iCs/>
              <w:color w:val="000000"/>
              <w:sz w:val="24"/>
              <w:szCs w:val="24"/>
            </w:rPr>
            <w:t>BlackRock</w:t>
          </w:r>
          <w:proofErr w:type="spellEnd"/>
          <w:r w:rsidRPr="00F55522">
            <w:rPr>
              <w:rFonts w:cs="Arial"/>
              <w:i w:val="0"/>
              <w:iCs/>
              <w:color w:val="000000"/>
              <w:sz w:val="24"/>
              <w:szCs w:val="24"/>
            </w:rPr>
            <w:t>, 2020)</w:t>
          </w:r>
        </w:sdtContent>
      </w:sdt>
      <w:r w:rsidRPr="00F55522">
        <w:rPr>
          <w:rFonts w:cs="Arial"/>
          <w:i w:val="0"/>
          <w:iCs/>
          <w:color w:val="000000"/>
          <w:sz w:val="24"/>
          <w:szCs w:val="24"/>
        </w:rPr>
        <w:t xml:space="preserve">. </w:t>
      </w:r>
    </w:p>
    <w:p w14:paraId="478A54E8" w14:textId="54E79B45" w:rsidR="006C6D6A" w:rsidRPr="00F55522" w:rsidRDefault="006C6D6A" w:rsidP="00D06F8C">
      <w:pPr>
        <w:pStyle w:val="Sugerencias"/>
        <w:spacing w:line="360" w:lineRule="auto"/>
        <w:jc w:val="both"/>
        <w:rPr>
          <w:rFonts w:cs="Arial"/>
          <w:i w:val="0"/>
          <w:iCs/>
          <w:color w:val="000000"/>
          <w:sz w:val="24"/>
          <w:szCs w:val="24"/>
        </w:rPr>
      </w:pPr>
      <w:r w:rsidRPr="00F55522">
        <w:rPr>
          <w:rFonts w:cs="Arial"/>
          <w:i w:val="0"/>
          <w:iCs/>
          <w:color w:val="000000"/>
          <w:sz w:val="24"/>
          <w:szCs w:val="24"/>
        </w:rPr>
        <w:lastRenderedPageBreak/>
        <w:t xml:space="preserve">Para </w:t>
      </w:r>
      <w:r w:rsidR="00BA184C">
        <w:rPr>
          <w:rFonts w:cs="Arial"/>
          <w:i w:val="0"/>
          <w:iCs/>
          <w:color w:val="000000"/>
          <w:sz w:val="24"/>
          <w:szCs w:val="24"/>
        </w:rPr>
        <w:t>este</w:t>
      </w:r>
      <w:r w:rsidR="00BA184C" w:rsidRPr="00F55522">
        <w:rPr>
          <w:rFonts w:cs="Arial"/>
          <w:i w:val="0"/>
          <w:iCs/>
          <w:color w:val="000000"/>
          <w:sz w:val="24"/>
          <w:szCs w:val="24"/>
        </w:rPr>
        <w:t xml:space="preserve"> </w:t>
      </w:r>
      <w:r w:rsidRPr="00F55522">
        <w:rPr>
          <w:rFonts w:cs="Arial"/>
          <w:i w:val="0"/>
          <w:iCs/>
          <w:color w:val="000000"/>
          <w:sz w:val="24"/>
          <w:szCs w:val="24"/>
        </w:rPr>
        <w:t xml:space="preserve">propósito, de subsanar los efectos negativos del cambio climático, se hace una distinción en dos principales tipos de riesgos climáticos: físicos y de transición </w:t>
      </w:r>
      <w:sdt>
        <w:sdtPr>
          <w:rPr>
            <w:rFonts w:cs="Arial"/>
            <w:i w:val="0"/>
            <w:iCs/>
            <w:color w:val="000000"/>
            <w:sz w:val="24"/>
            <w:szCs w:val="24"/>
          </w:rPr>
          <w:tag w:val="MENDELEY_CITATION_v3_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"/>
          <w:id w:val="697431488"/>
          <w:placeholder>
            <w:docPart w:val="45543DA14F4149B6B4841DF7D2D31438"/>
          </w:placeholder>
        </w:sdtPr>
        <w:sdtContent>
          <w:r w:rsidRPr="00F55522">
            <w:rPr>
              <w:rFonts w:cs="Arial"/>
              <w:i w:val="0"/>
              <w:iCs/>
              <w:color w:val="000000"/>
              <w:sz w:val="24"/>
              <w:szCs w:val="24"/>
            </w:rPr>
            <w:t>(GFL, 2022)</w:t>
          </w:r>
        </w:sdtContent>
      </w:sdt>
      <w:r w:rsidRPr="00F55522">
        <w:rPr>
          <w:rFonts w:cs="Arial"/>
          <w:i w:val="0"/>
          <w:iCs/>
          <w:color w:val="000000"/>
          <w:sz w:val="24"/>
          <w:szCs w:val="24"/>
        </w:rPr>
        <w:t xml:space="preserve">. </w:t>
      </w:r>
      <w:r w:rsidR="00BA184C">
        <w:rPr>
          <w:rFonts w:cs="Arial"/>
          <w:i w:val="0"/>
          <w:iCs/>
          <w:color w:val="000000"/>
          <w:sz w:val="24"/>
          <w:szCs w:val="24"/>
        </w:rPr>
        <w:t>L</w:t>
      </w:r>
      <w:r w:rsidRPr="00F55522">
        <w:rPr>
          <w:rFonts w:cs="Arial"/>
          <w:i w:val="0"/>
          <w:iCs/>
          <w:color w:val="000000"/>
          <w:sz w:val="24"/>
          <w:szCs w:val="24"/>
        </w:rPr>
        <w:t>os riesgos físicos son aquellos asociados a los impactos directos de fenómenos climáticos, como sequías, huracanes o inundaciones</w:t>
      </w:r>
      <w:r w:rsidR="00BA184C">
        <w:rPr>
          <w:rFonts w:cs="Arial"/>
          <w:i w:val="0"/>
          <w:iCs/>
          <w:color w:val="000000"/>
          <w:sz w:val="24"/>
          <w:szCs w:val="24"/>
        </w:rPr>
        <w:t>.</w:t>
      </w:r>
      <w:r w:rsidRPr="00F55522">
        <w:rPr>
          <w:rFonts w:cs="Arial"/>
          <w:i w:val="0"/>
          <w:iCs/>
          <w:color w:val="000000"/>
          <w:sz w:val="24"/>
          <w:szCs w:val="24"/>
        </w:rPr>
        <w:t xml:space="preserve"> </w:t>
      </w:r>
      <w:r w:rsidR="00BA184C">
        <w:rPr>
          <w:rFonts w:cs="Arial"/>
          <w:i w:val="0"/>
          <w:iCs/>
          <w:color w:val="000000"/>
          <w:sz w:val="24"/>
          <w:szCs w:val="24"/>
        </w:rPr>
        <w:t>Por otro lado,</w:t>
      </w:r>
      <w:r w:rsidRPr="00F55522">
        <w:rPr>
          <w:rFonts w:cs="Arial"/>
          <w:i w:val="0"/>
          <w:iCs/>
          <w:color w:val="000000"/>
          <w:sz w:val="24"/>
          <w:szCs w:val="24"/>
        </w:rPr>
        <w:t xml:space="preserve"> los </w:t>
      </w:r>
      <w:r w:rsidR="00F14554">
        <w:rPr>
          <w:rFonts w:cs="Arial"/>
          <w:i w:val="0"/>
          <w:iCs/>
          <w:color w:val="000000"/>
          <w:sz w:val="24"/>
          <w:szCs w:val="24"/>
        </w:rPr>
        <w:t xml:space="preserve">riesgos </w:t>
      </w:r>
      <w:r w:rsidRPr="00F55522">
        <w:rPr>
          <w:rFonts w:cs="Arial"/>
          <w:i w:val="0"/>
          <w:iCs/>
          <w:color w:val="000000"/>
          <w:sz w:val="24"/>
          <w:szCs w:val="24"/>
        </w:rPr>
        <w:t xml:space="preserve">de </w:t>
      </w:r>
      <w:r w:rsidR="00E46EBA" w:rsidRPr="00F55522">
        <w:rPr>
          <w:rFonts w:cs="Arial"/>
          <w:i w:val="0"/>
          <w:iCs/>
          <w:color w:val="000000"/>
          <w:sz w:val="24"/>
          <w:szCs w:val="24"/>
        </w:rPr>
        <w:t>transición</w:t>
      </w:r>
      <w:r w:rsidRPr="00F55522">
        <w:rPr>
          <w:rFonts w:cs="Arial"/>
          <w:i w:val="0"/>
          <w:iCs/>
          <w:color w:val="000000"/>
          <w:sz w:val="24"/>
          <w:szCs w:val="24"/>
        </w:rPr>
        <w:t xml:space="preserve"> hacen referencia a los riesgos que padecen las empresas, derivados de la respuesta de la sociedad al ajuste de los impactos climáticos, como leyes, políticas y comportamiento del mercado</w:t>
      </w:r>
      <w:r w:rsidR="00F14554">
        <w:rPr>
          <w:rFonts w:cs="Arial"/>
          <w:i w:val="0"/>
          <w:iCs/>
          <w:color w:val="000000"/>
          <w:sz w:val="24"/>
          <w:szCs w:val="24"/>
        </w:rPr>
        <w:t xml:space="preserve"> hacia economía baja en carbono</w:t>
      </w:r>
      <w:r w:rsidRPr="00F55522">
        <w:rPr>
          <w:rFonts w:cs="Arial"/>
          <w:i w:val="0"/>
          <w:iCs/>
          <w:color w:val="000000"/>
          <w:sz w:val="24"/>
          <w:szCs w:val="24"/>
        </w:rPr>
        <w:t xml:space="preserve">. </w:t>
      </w:r>
      <w:r w:rsidR="00C6658E">
        <w:rPr>
          <w:rFonts w:cs="Arial"/>
          <w:i w:val="0"/>
          <w:iCs/>
          <w:color w:val="000000"/>
          <w:sz w:val="24"/>
          <w:szCs w:val="24"/>
        </w:rPr>
        <w:t xml:space="preserve">Para efectos de limitar el alcance, </w:t>
      </w:r>
      <w:r w:rsidR="00BA184C">
        <w:rPr>
          <w:rFonts w:cs="Arial"/>
          <w:i w:val="0"/>
          <w:iCs/>
          <w:color w:val="000000"/>
          <w:sz w:val="24"/>
          <w:szCs w:val="24"/>
        </w:rPr>
        <w:t>en esta investigación sólo se tratarán los riesgos climáticos de transición, por lo que cuando hablemos de riesgos climáticos, se está haciendo referencia a estos.</w:t>
      </w:r>
    </w:p>
    <w:p w14:paraId="20E823C5" w14:textId="0412E157" w:rsidR="006C6D6A" w:rsidRPr="00F55522" w:rsidRDefault="006C6D6A" w:rsidP="00D06F8C">
      <w:pPr>
        <w:pStyle w:val="Sugerencias"/>
        <w:spacing w:line="360" w:lineRule="auto"/>
        <w:jc w:val="both"/>
        <w:rPr>
          <w:rFonts w:cs="Arial"/>
          <w:i w:val="0"/>
          <w:iCs/>
          <w:color w:val="000000"/>
          <w:sz w:val="24"/>
          <w:szCs w:val="24"/>
        </w:rPr>
      </w:pPr>
      <w:r w:rsidRPr="00F55522">
        <w:rPr>
          <w:rFonts w:cs="Arial"/>
          <w:i w:val="0"/>
          <w:iCs/>
          <w:color w:val="000000"/>
          <w:sz w:val="24"/>
          <w:szCs w:val="24"/>
        </w:rPr>
        <w:t xml:space="preserve">A pesar de que el uso y la práctica de la gestión de riesgos climáticos es todavía poco </w:t>
      </w:r>
      <w:r w:rsidR="006F3800">
        <w:rPr>
          <w:rFonts w:cs="Arial"/>
          <w:i w:val="0"/>
          <w:iCs/>
          <w:color w:val="000000"/>
          <w:sz w:val="24"/>
          <w:szCs w:val="24"/>
        </w:rPr>
        <w:t>recurrente en</w:t>
      </w:r>
      <w:r w:rsidRPr="00F55522">
        <w:rPr>
          <w:rFonts w:cs="Arial"/>
          <w:i w:val="0"/>
          <w:iCs/>
          <w:color w:val="000000"/>
          <w:sz w:val="24"/>
          <w:szCs w:val="24"/>
        </w:rPr>
        <w:t xml:space="preserve"> el sector empresarial, están surgiendo cada vez nuevas propuestas y modelos basados fundamentalmente en inteligencia artificial para gestionar estos riesgos </w:t>
      </w:r>
      <w:sdt>
        <w:sdtPr>
          <w:rPr>
            <w:rFonts w:cs="Arial"/>
            <w:i w:val="0"/>
            <w:iCs/>
            <w:color w:val="000000"/>
            <w:sz w:val="24"/>
            <w:szCs w:val="24"/>
          </w:rPr>
          <w:tag w:val="MENDELEY_CITATION_v3_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"/>
          <w:id w:val="-716734912"/>
          <w:placeholder>
            <w:docPart w:val="45543DA14F4149B6B4841DF7D2D31438"/>
          </w:placeholder>
        </w:sdtPr>
        <w:sdtContent>
          <w:r w:rsidRPr="00F55522">
            <w:rPr>
              <w:rFonts w:cs="Arial"/>
              <w:i w:val="0"/>
              <w:iCs/>
              <w:color w:val="000000"/>
              <w:sz w:val="24"/>
              <w:szCs w:val="24"/>
            </w:rPr>
            <w:t xml:space="preserve">(Luis M. </w:t>
          </w:r>
          <w:proofErr w:type="spellStart"/>
          <w:r w:rsidRPr="00F55522">
            <w:rPr>
              <w:rFonts w:cs="Arial"/>
              <w:i w:val="0"/>
              <w:iCs/>
              <w:color w:val="000000"/>
              <w:sz w:val="24"/>
              <w:szCs w:val="24"/>
            </w:rPr>
            <w:t>Abadie</w:t>
          </w:r>
          <w:proofErr w:type="spellEnd"/>
          <w:r w:rsidRPr="00F55522">
            <w:rPr>
              <w:rFonts w:cs="Arial"/>
              <w:i w:val="0"/>
              <w:iCs/>
              <w:color w:val="000000"/>
              <w:sz w:val="24"/>
              <w:szCs w:val="24"/>
            </w:rPr>
            <w:t xml:space="preserve"> et al, 2016)</w:t>
          </w:r>
        </w:sdtContent>
      </w:sdt>
      <w:r w:rsidRPr="00F55522">
        <w:rPr>
          <w:rFonts w:cs="Arial"/>
          <w:i w:val="0"/>
          <w:iCs/>
          <w:color w:val="000000"/>
          <w:sz w:val="24"/>
          <w:szCs w:val="24"/>
        </w:rPr>
        <w:t xml:space="preserve">. Frente a estas iniciativas </w:t>
      </w:r>
      <w:r w:rsidR="00DB66D8">
        <w:rPr>
          <w:rFonts w:cs="Arial"/>
          <w:i w:val="0"/>
          <w:iCs/>
          <w:color w:val="000000"/>
          <w:sz w:val="24"/>
          <w:szCs w:val="24"/>
        </w:rPr>
        <w:t xml:space="preserve">se establece </w:t>
      </w:r>
      <w:r w:rsidRPr="00F55522">
        <w:rPr>
          <w:rFonts w:cs="Arial"/>
          <w:i w:val="0"/>
          <w:iCs/>
          <w:color w:val="000000"/>
          <w:sz w:val="24"/>
          <w:szCs w:val="24"/>
        </w:rPr>
        <w:t xml:space="preserve">la siguiente pregunta </w:t>
      </w:r>
      <w:r w:rsidR="00F14554">
        <w:rPr>
          <w:rFonts w:cs="Arial"/>
          <w:i w:val="0"/>
          <w:iCs/>
          <w:color w:val="000000"/>
          <w:sz w:val="24"/>
          <w:szCs w:val="24"/>
        </w:rPr>
        <w:t xml:space="preserve">de investigación </w:t>
      </w:r>
      <w:r w:rsidRPr="00F55522">
        <w:rPr>
          <w:rFonts w:cs="Arial"/>
          <w:i w:val="0"/>
          <w:iCs/>
          <w:color w:val="000000"/>
          <w:sz w:val="24"/>
          <w:szCs w:val="24"/>
        </w:rPr>
        <w:t>¿</w:t>
      </w:r>
      <w:r w:rsidR="006F509B">
        <w:rPr>
          <w:rFonts w:cs="Arial"/>
          <w:i w:val="0"/>
          <w:iCs/>
          <w:color w:val="000000"/>
          <w:sz w:val="24"/>
          <w:szCs w:val="24"/>
        </w:rPr>
        <w:t>De qué manera se puede emplear la lógica borrosa en la elaboración de una matriz de riesgos que permita la valoración de los riesgos climáticos de transición?</w:t>
      </w:r>
    </w:p>
    <w:p w14:paraId="27072215" w14:textId="1FD5DF06" w:rsidR="006C6D6A" w:rsidRPr="006C6D6A" w:rsidRDefault="006C6D6A" w:rsidP="00D06F8C">
      <w:pPr>
        <w:pStyle w:val="Ttulo3"/>
        <w:jc w:val="both"/>
      </w:pPr>
      <w:bookmarkStart w:id="7" w:name="_Toc149994740"/>
      <w:r>
        <w:t>Justificación</w:t>
      </w:r>
      <w:bookmarkEnd w:id="7"/>
    </w:p>
    <w:p w14:paraId="1E2E087E" w14:textId="536CB6B9" w:rsidR="006C6D6A" w:rsidRPr="00F55522" w:rsidRDefault="006C6D6A" w:rsidP="00D06F8C">
      <w:pPr>
        <w:spacing w:line="360" w:lineRule="auto"/>
        <w:jc w:val="both"/>
        <w:rPr>
          <w:szCs w:val="22"/>
        </w:rPr>
      </w:pPr>
      <w:bookmarkStart w:id="8" w:name="_Toc277749583"/>
      <w:r w:rsidRPr="00F55522">
        <w:rPr>
          <w:szCs w:val="22"/>
        </w:rPr>
        <w:t xml:space="preserve">Según la </w:t>
      </w:r>
      <w:r w:rsidRPr="00F55522">
        <w:rPr>
          <w:szCs w:val="22"/>
        </w:rPr>
        <w:fldChar w:fldCharType="begin" w:fldLock="1"/>
      </w:r>
      <w:r w:rsidR="008774A4">
        <w:rPr>
          <w:szCs w:val="22"/>
        </w:rPr>
        <w:instrText>ADDIN CSL_CITATION {"citationItems":[{"id":"ITEM-1","itemData":{"author":[{"dropping-particle":"","family":"ONU","given":"","non-dropping-particle":"","parse-names":false,"suffix":""}],"id":"ITEM-1","issued":{"date-parts":[["2022"]]},"title":"Buscar Contacto Coronavirus (COVID-19) Empresa y cambio climático: El aumento de la sensibilización pública crea una oportunidad significativa","type":"article-journal"},"uris":["http://www.mendeley.com/documents/?uuid=14162ad6-526f-4655-9564-9304e52af2fb"]}],"mendeley":{"formattedCitation":"(ONU, 2022)","manualFormatting":"ONU (2022)","plainTextFormattedCitation":"(ONU, 2022)","previouslyFormattedCitation":"(ONU, 2022)"},"properties":{"noteIndex":0},"schema":"https://github.com/citation-style-language/schema/raw/master/csl-citation.json"}</w:instrText>
      </w:r>
      <w:r w:rsidRPr="00F55522">
        <w:rPr>
          <w:szCs w:val="22"/>
        </w:rPr>
        <w:fldChar w:fldCharType="separate"/>
      </w:r>
      <w:r w:rsidRPr="00F55522">
        <w:rPr>
          <w:noProof/>
          <w:szCs w:val="22"/>
        </w:rPr>
        <w:t xml:space="preserve">ONU </w:t>
      </w:r>
      <w:r w:rsidR="00A056C1">
        <w:rPr>
          <w:noProof/>
          <w:szCs w:val="22"/>
        </w:rPr>
        <w:t>(</w:t>
      </w:r>
      <w:r w:rsidRPr="00F55522">
        <w:rPr>
          <w:noProof/>
          <w:szCs w:val="22"/>
        </w:rPr>
        <w:t>2022)</w:t>
      </w:r>
      <w:r w:rsidRPr="00F55522">
        <w:rPr>
          <w:szCs w:val="22"/>
        </w:rPr>
        <w:fldChar w:fldCharType="end"/>
      </w:r>
      <w:r w:rsidRPr="00F55522">
        <w:rPr>
          <w:szCs w:val="22"/>
        </w:rPr>
        <w:t xml:space="preserve">, </w:t>
      </w:r>
      <w:r w:rsidR="00E060B6">
        <w:rPr>
          <w:szCs w:val="22"/>
        </w:rPr>
        <w:t>el</w:t>
      </w:r>
      <w:r w:rsidRPr="00F55522">
        <w:rPr>
          <w:szCs w:val="22"/>
        </w:rPr>
        <w:t xml:space="preserve"> cambio climático ejerce y ejercerá un impacto directo sobre las empresas, pues afectará, por ejemplo a su infraestructura y sus inversiones. Es, por lo tanto, innegable que existe una incidencia de los efectos en el cambio climático, tanto físicos como de transición, sobre las decisiones que se toman dentro de la empresa. </w:t>
      </w:r>
      <w:r w:rsidR="00BA184C">
        <w:rPr>
          <w:szCs w:val="22"/>
        </w:rPr>
        <w:t>A</w:t>
      </w:r>
      <w:r w:rsidRPr="00F55522">
        <w:rPr>
          <w:szCs w:val="22"/>
        </w:rPr>
        <w:t xml:space="preserve">demás, </w:t>
      </w:r>
      <w:r w:rsidR="00BA184C">
        <w:rPr>
          <w:szCs w:val="22"/>
        </w:rPr>
        <w:t xml:space="preserve">es </w:t>
      </w:r>
      <w:r w:rsidRPr="00F55522">
        <w:rPr>
          <w:szCs w:val="22"/>
        </w:rPr>
        <w:t>importante tener en cuenta que estos cambios paulatinos, sobre todo en las políticas y leyes concernientes a esta temática, serán cada vez más frecuentes y contundentes, pues existirá cada vez una mayor cantidad de miembros dentro de</w:t>
      </w:r>
      <w:r w:rsidR="00F14554">
        <w:rPr>
          <w:szCs w:val="22"/>
        </w:rPr>
        <w:t xml:space="preserve"> </w:t>
      </w:r>
      <w:r w:rsidRPr="00F55522">
        <w:rPr>
          <w:szCs w:val="22"/>
        </w:rPr>
        <w:t>l</w:t>
      </w:r>
      <w:r w:rsidR="00F14554">
        <w:rPr>
          <w:szCs w:val="22"/>
        </w:rPr>
        <w:t>a</w:t>
      </w:r>
      <w:r w:rsidRPr="00F55522">
        <w:rPr>
          <w:szCs w:val="22"/>
        </w:rPr>
        <w:t xml:space="preserve"> </w:t>
      </w:r>
      <w:r w:rsidR="00F14554">
        <w:rPr>
          <w:szCs w:val="22"/>
        </w:rPr>
        <w:t>sociedad civil</w:t>
      </w:r>
      <w:r w:rsidR="00F14554" w:rsidRPr="00F55522">
        <w:rPr>
          <w:szCs w:val="22"/>
        </w:rPr>
        <w:t xml:space="preserve"> </w:t>
      </w:r>
      <w:r w:rsidRPr="00F55522">
        <w:rPr>
          <w:szCs w:val="22"/>
        </w:rPr>
        <w:t xml:space="preserve">con una conciencia mayor respecto a estas problemáticas </w:t>
      </w:r>
      <w:r w:rsidRPr="00F55522">
        <w:rPr>
          <w:szCs w:val="22"/>
        </w:rPr>
        <w:fldChar w:fldCharType="begin" w:fldLock="1"/>
      </w:r>
      <w:r w:rsidRPr="00F55522">
        <w:rPr>
          <w:szCs w:val="22"/>
        </w:rPr>
        <w:instrText>ADDIN CSL_CITATION {"citationItems":[{"id":"ITEM-1","itemData":{"author":[{"dropping-particle":"","family":"ONU","given":"","non-dropping-particle":"","parse-names":false,"suffix":""}],"id":"ITEM-1","issued":{"date-parts":[["2022"]]},"title":"Buscar Contacto Coronavirus (COVID-19) Empresa y cambio climático: El aumento de la sensibilización pública crea una oportunidad significativa","type":"article-journal"},"uris":["http://www.mendeley.com/documents/?uuid=14162ad6-526f-4655-9564-9304e52af2fb"]}],"mendeley":{"formattedCitation":"(ONU, 2022)","plainTextFormattedCitation":"(ONU, 2022)","previouslyFormattedCitation":"(ONU, 2022)"},"properties":{"noteIndex":0},"schema":"https://github.com/citation-style-language/schema/raw/master/csl-citation.json"}</w:instrText>
      </w:r>
      <w:r w:rsidRPr="00F55522">
        <w:rPr>
          <w:szCs w:val="22"/>
        </w:rPr>
        <w:fldChar w:fldCharType="separate"/>
      </w:r>
      <w:r w:rsidRPr="00F55522">
        <w:rPr>
          <w:noProof/>
          <w:szCs w:val="22"/>
        </w:rPr>
        <w:t>(ONU, 2022)</w:t>
      </w:r>
      <w:r w:rsidRPr="00F55522">
        <w:rPr>
          <w:szCs w:val="22"/>
        </w:rPr>
        <w:fldChar w:fldCharType="end"/>
      </w:r>
      <w:r w:rsidRPr="00F55522">
        <w:rPr>
          <w:szCs w:val="22"/>
        </w:rPr>
        <w:t>.</w:t>
      </w:r>
    </w:p>
    <w:p w14:paraId="67088FFB" w14:textId="3F26EEEC" w:rsidR="006C6D6A" w:rsidRPr="00F55522" w:rsidRDefault="006C6D6A" w:rsidP="00D06F8C">
      <w:pPr>
        <w:spacing w:before="0" w:after="240" w:line="360" w:lineRule="auto"/>
        <w:jc w:val="both"/>
        <w:rPr>
          <w:szCs w:val="22"/>
        </w:rPr>
      </w:pPr>
      <w:r w:rsidRPr="00F55522">
        <w:rPr>
          <w:szCs w:val="22"/>
        </w:rPr>
        <w:t xml:space="preserve">Además de lo anteriormente mencionado, se hace también evidente esta necesidad, reconocida ya por instituciones internacionales que han puesto en marcha mecanismos y marcos de referencia políticos para gestionar el riesgo climático de la mejor manera posible. Entre estos, se encuentra la </w:t>
      </w:r>
      <w:r w:rsidR="00E060B6">
        <w:rPr>
          <w:szCs w:val="22"/>
        </w:rPr>
        <w:t>d</w:t>
      </w:r>
      <w:r w:rsidRPr="00F55522">
        <w:rPr>
          <w:szCs w:val="22"/>
        </w:rPr>
        <w:t xml:space="preserve">el marco de referencia de convención sobre el cambio climático de las </w:t>
      </w:r>
      <w:r w:rsidR="00F14554">
        <w:rPr>
          <w:szCs w:val="22"/>
        </w:rPr>
        <w:t>N</w:t>
      </w:r>
      <w:r w:rsidR="00F14554" w:rsidRPr="00F55522">
        <w:rPr>
          <w:szCs w:val="22"/>
        </w:rPr>
        <w:t xml:space="preserve">aciones </w:t>
      </w:r>
      <w:r w:rsidR="00F14554">
        <w:rPr>
          <w:szCs w:val="22"/>
        </w:rPr>
        <w:t>U</w:t>
      </w:r>
      <w:r w:rsidR="00F14554" w:rsidRPr="00F55522">
        <w:rPr>
          <w:szCs w:val="22"/>
        </w:rPr>
        <w:t xml:space="preserve">nidas </w:t>
      </w:r>
      <w:r w:rsidRPr="00F55522">
        <w:rPr>
          <w:szCs w:val="22"/>
        </w:rPr>
        <w:lastRenderedPageBreak/>
        <w:t xml:space="preserve">(UNFCCC), </w:t>
      </w:r>
      <w:r w:rsidR="00F14554">
        <w:rPr>
          <w:szCs w:val="22"/>
        </w:rPr>
        <w:t>e</w:t>
      </w:r>
      <w:r w:rsidR="00F14554" w:rsidRPr="00F55522">
        <w:rPr>
          <w:szCs w:val="22"/>
        </w:rPr>
        <w:t xml:space="preserve">l </w:t>
      </w:r>
      <w:r w:rsidRPr="00F55522">
        <w:rPr>
          <w:szCs w:val="22"/>
        </w:rPr>
        <w:t xml:space="preserve">mecanismo internacional contra perdidas y daños de Varsovia (L&amp;D) y el marco de trabajo por la reducción del riesgo de desastres de Sendai (SFDRR) </w:t>
      </w:r>
      <w:r w:rsidRPr="00F55522">
        <w:rPr>
          <w:szCs w:val="22"/>
        </w:rPr>
        <w:fldChar w:fldCharType="begin" w:fldLock="1"/>
      </w:r>
      <w:r w:rsidRPr="00F55522">
        <w:rPr>
          <w:szCs w:val="22"/>
        </w:rPr>
        <w:instrText>ADDIN CSL_CITATION {"citationItems":[{"id":"ITEM-1","itemData":{"DOI":"10.1098/rsta.2017.0307","ISSN":"1364503X","PMID":"29712798","abstract":"Climate change poses severe risks for businesses, which companies as well as governments need to understand in order to take appropriate steps to manage those. This, however, represents a significant challenge as climate change risk assessment is itself a complex, dynamic and geographically diverse process. A wide range of factors including the nature of production processes and value chains, the location of business sites as well as relationships and interdependencies with customers and suppliers play a role in determining if and how companies are impacted by climate risks. This research explores the methodological challenges for a national-scale assessment of climate risks through the lens of the UK Climate Change Risk Assessment (UKCCRA) process and compares the approaches adopted in the first and second UKCCRA (2011, 2016), while also reflecting on international experiences elsewhere. A review of these issues is presented, drawing on a wide body of contemporary evidence from a range of sources including the research disciplines, grey literature and government policy. The study reveals the methodological challenges and highlights six broad themes, namely scale, evidence base, adaptation responses, scope, interdependencies and public policy. The paper concludes by identifying suitable lessons for future national climate risk assessments, which should guide the next phase of research in preparation for UKCCRA3 and those of national-level risk assessments elsewhere. This article is part of the theme issue ‘Advances in risk assessment for climate change adaptation policy’.","author":[{"dropping-particle":"","family":"Surminski","given":"Swenja","non-dropping-particle":"","parse-names":false,"suffix":""},{"dropping-particle":"","family":"Mauro","given":"Manuela","non-dropping-particle":"Di","parse-names":false,"suffix":""},{"dropping-particle":"","family":"Baglee","given":"J. Alastair R.","non-dropping-particle":"","parse-names":false,"suffix":""},{"dropping-particle":"","family":"Connell","given":"Richenda K.","non-dropping-particle":"","parse-names":false,"suffix":""},{"dropping-particle":"","family":"Hankinson","given":"Joel","non-dropping-particle":"","parse-names":false,"suffix":""},{"dropping-particle":"","family":"Haworth","given":"Anna R.","non-dropping-particle":"","parse-names":false,"suffix":""},{"dropping-particle":"","family":"Ingirige","given":"Bingunath","non-dropping-particle":"","parse-names":false,"suffix":""},{"dropping-particle":"","family":"Proverbs","given":"David","non-dropping-particle":"","parse-names":false,"suffix":""}],"container-title":"Philosophical Transactions of the Royal Society A: Mathematical, Physical and Engineering Sciences","id":"ITEM-1","issue":"2121","issued":{"date-parts":[["2018"]]},"title":"Assessing climate risks across different business sectors and industries: An investigation of methodological challenges at national scale for the UK","type":"article-journal","volume":"376"},"uris":["http://www.mendeley.com/documents/?uuid=b4a9c23e-aa2a-41a3-b8c6-e17e21503c90"]}],"mendeley":{"formattedCitation":"(Surminski et al., 2018)","plainTextFormattedCitation":"(Surminski et al., 2018)","previouslyFormattedCitation":"(Surminski et al., 2018)"},"properties":{"noteIndex":0},"schema":"https://github.com/citation-style-language/schema/raw/master/csl-citation.json"}</w:instrText>
      </w:r>
      <w:r w:rsidRPr="00F55522">
        <w:rPr>
          <w:szCs w:val="22"/>
        </w:rPr>
        <w:fldChar w:fldCharType="separate"/>
      </w:r>
      <w:r w:rsidRPr="00F55522">
        <w:rPr>
          <w:noProof/>
          <w:szCs w:val="22"/>
        </w:rPr>
        <w:t>(Surminski et al., 2018)</w:t>
      </w:r>
      <w:r w:rsidRPr="00F55522">
        <w:rPr>
          <w:szCs w:val="22"/>
        </w:rPr>
        <w:fldChar w:fldCharType="end"/>
      </w:r>
      <w:r w:rsidRPr="00F55522">
        <w:rPr>
          <w:szCs w:val="22"/>
        </w:rPr>
        <w:t>. Todos los mecanismos anterior</w:t>
      </w:r>
      <w:r w:rsidR="00F14554">
        <w:rPr>
          <w:szCs w:val="22"/>
        </w:rPr>
        <w:t>es</w:t>
      </w:r>
      <w:r w:rsidRPr="00F55522">
        <w:rPr>
          <w:szCs w:val="22"/>
        </w:rPr>
        <w:t xml:space="preserve"> tienen en común la gestión de riesgos como principal objetivo. </w:t>
      </w:r>
    </w:p>
    <w:p w14:paraId="4E887197" w14:textId="0CAAC97A" w:rsidR="006C6D6A" w:rsidRPr="00F55522" w:rsidRDefault="006C6D6A" w:rsidP="00D06F8C">
      <w:pPr>
        <w:spacing w:before="0" w:after="240" w:line="360" w:lineRule="auto"/>
        <w:jc w:val="both"/>
        <w:rPr>
          <w:szCs w:val="22"/>
        </w:rPr>
      </w:pPr>
      <w:r w:rsidRPr="00F55522">
        <w:rPr>
          <w:szCs w:val="22"/>
        </w:rPr>
        <w:t xml:space="preserve">No obstante, el cambio climático hace parte de un problema sistemático grande y complejo, que afecta de manera tanto directa como indirecta a las empresas de </w:t>
      </w:r>
      <w:r w:rsidR="00E060B6">
        <w:rPr>
          <w:szCs w:val="22"/>
        </w:rPr>
        <w:t>formas</w:t>
      </w:r>
      <w:r w:rsidRPr="00F55522">
        <w:rPr>
          <w:szCs w:val="22"/>
        </w:rPr>
        <w:t xml:space="preserve"> casi imposibles de determinar. Además de ser un problema complejo y dinámico, el cambio climático es un problema geográfico de gran magnitud y alcance, lo que quiere decir que los eventos climáticos ocasionados en cierta </w:t>
      </w:r>
      <w:r w:rsidR="006C2B17">
        <w:rPr>
          <w:szCs w:val="22"/>
        </w:rPr>
        <w:t>ubicación</w:t>
      </w:r>
      <w:r w:rsidRPr="00F55522">
        <w:rPr>
          <w:szCs w:val="22"/>
        </w:rPr>
        <w:t xml:space="preserve"> tienen la capacidad de generar implicaciones en diversas partes del mundo, lo que incrementa el problema </w:t>
      </w:r>
      <w:r w:rsidRPr="00F55522">
        <w:rPr>
          <w:szCs w:val="22"/>
        </w:rPr>
        <w:fldChar w:fldCharType="begin" w:fldLock="1"/>
      </w:r>
      <w:r w:rsidRPr="00F55522">
        <w:rPr>
          <w:szCs w:val="22"/>
        </w:rPr>
        <w:instrText>ADDIN CSL_CITATION {"citationItems":[{"id":"ITEM-1","itemData":{"DOI":"10.1098/rsta.2017.0307","ISSN":"1364503X","PMID":"29712798","abstract":"Climate change poses severe risks for businesses, which companies as well as governments need to understand in order to take appropriate steps to manage those. This, however, represents a significant challenge as climate change risk assessment is itself a complex, dynamic and geographically diverse process. A wide range of factors including the nature of production processes and value chains, the location of business sites as well as relationships and interdependencies with customers and suppliers play a role in determining if and how companies are impacted by climate risks. This research explores the methodological challenges for a national-scale assessment of climate risks through the lens of the UK Climate Change Risk Assessment (UKCCRA) process and compares the approaches adopted in the first and second UKCCRA (2011, 2016), while also reflecting on international experiences elsewhere. A review of these issues is presented, drawing on a wide body of contemporary evidence from a range of sources including the research disciplines, grey literature and government policy. The study reveals the methodological challenges and highlights six broad themes, namely scale, evidence base, adaptation responses, scope, interdependencies and public policy. The paper concludes by identifying suitable lessons for future national climate risk assessments, which should guide the next phase of research in preparation for UKCCRA3 and those of national-level risk assessments elsewhere. This article is part of the theme issue ‘Advances in risk assessment for climate change adaptation policy’.","author":[{"dropping-particle":"","family":"Surminski","given":"Swenja","non-dropping-particle":"","parse-names":false,"suffix":""},{"dropping-particle":"","family":"Mauro","given":"Manuela","non-dropping-particle":"Di","parse-names":false,"suffix":""},{"dropping-particle":"","family":"Baglee","given":"J. Alastair R.","non-dropping-particle":"","parse-names":false,"suffix":""},{"dropping-particle":"","family":"Connell","given":"Richenda K.","non-dropping-particle":"","parse-names":false,"suffix":""},{"dropping-particle":"","family":"Hankinson","given":"Joel","non-dropping-particle":"","parse-names":false,"suffix":""},{"dropping-particle":"","family":"Haworth","given":"Anna R.","non-dropping-particle":"","parse-names":false,"suffix":""},{"dropping-particle":"","family":"Ingirige","given":"Bingunath","non-dropping-particle":"","parse-names":false,"suffix":""},{"dropping-particle":"","family":"Proverbs","given":"David","non-dropping-particle":"","parse-names":false,"suffix":""}],"container-title":"Philosophical Transactions of the Royal Society A: Mathematical, Physical and Engineering Sciences","id":"ITEM-1","issue":"2121","issued":{"date-parts":[["2018"]]},"title":"Assessing climate risks across different business sectors and industries: An investigation of methodological challenges at national scale for the UK","type":"article-journal","volume":"376"},"uris":["http://www.mendeley.com/documents/?uuid=b4a9c23e-aa2a-41a3-b8c6-e17e21503c90"]}],"mendeley":{"formattedCitation":"(Surminski et al., 2018)","plainTextFormattedCitation":"(Surminski et al., 2018)","previouslyFormattedCitation":"(Surminski et al., 2018)"},"properties":{"noteIndex":0},"schema":"https://github.com/citation-style-language/schema/raw/master/csl-citation.json"}</w:instrText>
      </w:r>
      <w:r w:rsidRPr="00F55522">
        <w:rPr>
          <w:szCs w:val="22"/>
        </w:rPr>
        <w:fldChar w:fldCharType="separate"/>
      </w:r>
      <w:r w:rsidRPr="00F55522">
        <w:rPr>
          <w:noProof/>
          <w:szCs w:val="22"/>
        </w:rPr>
        <w:t>(Surminski et al., 2018)</w:t>
      </w:r>
      <w:r w:rsidRPr="00F55522">
        <w:rPr>
          <w:szCs w:val="22"/>
        </w:rPr>
        <w:fldChar w:fldCharType="end"/>
      </w:r>
      <w:r w:rsidRPr="00F55522">
        <w:rPr>
          <w:szCs w:val="22"/>
        </w:rPr>
        <w:t>.</w:t>
      </w:r>
    </w:p>
    <w:p w14:paraId="637A8CCA" w14:textId="626CB462" w:rsidR="006C6D6A" w:rsidRPr="00F55522" w:rsidRDefault="006C6D6A" w:rsidP="00D06F8C">
      <w:pPr>
        <w:spacing w:before="0" w:after="240" w:line="360" w:lineRule="auto"/>
        <w:jc w:val="both"/>
        <w:rPr>
          <w:szCs w:val="22"/>
        </w:rPr>
      </w:pPr>
      <w:r w:rsidRPr="00F55522">
        <w:rPr>
          <w:szCs w:val="22"/>
        </w:rPr>
        <w:t xml:space="preserve">Debido a la complejidad de los problemas que el cambio climático afronta, y a la relativa nueva percepción que se ha adoptado acerca de las problemáticas climáticas, muchas empresas todavía carecen de herramientas o instrumentos para resolver los problemas concernientes a ello. Si bien, se han venido dando pequeños pasos en dirección a la gestión del riesgo climático, estos </w:t>
      </w:r>
      <w:r w:rsidR="006C2B17">
        <w:rPr>
          <w:szCs w:val="22"/>
        </w:rPr>
        <w:t>avances</w:t>
      </w:r>
      <w:r w:rsidRPr="00F55522">
        <w:rPr>
          <w:szCs w:val="22"/>
        </w:rPr>
        <w:t xml:space="preserve"> están apenas en su etapa inicial</w:t>
      </w:r>
      <w:r w:rsidR="00926A9B">
        <w:rPr>
          <w:szCs w:val="22"/>
        </w:rPr>
        <w:t xml:space="preserve"> </w:t>
      </w:r>
      <w:r w:rsidR="00926A9B">
        <w:rPr>
          <w:szCs w:val="22"/>
        </w:rPr>
        <w:fldChar w:fldCharType="begin" w:fldLock="1"/>
      </w:r>
      <w:r w:rsidR="00926A9B">
        <w:rPr>
          <w:szCs w:val="22"/>
        </w:rPr>
        <w:instrText>ADDIN CSL_CITATION {"citationItems":[{"id":"ITEM-1","itemData":{"author":[{"dropping-particle":"","family":"KPMG","given":"","non-dropping-particle":"","parse-names":false,"suffix":""}],"id":"ITEM-1","issued":{"date-parts":[["2019"]]},"title":"Vientos de cambio: La gestión de riesgos en el mundo digital","type":"article-journal"},"uris":["http://www.mendeley.com/documents/?uuid=2e24c693-014f-48f7-99a2-2194d2e7c8d6"]}],"mendeley":{"formattedCitation":"(KPMG, 2019)","plainTextFormattedCitation":"(KPMG, 2019)"},"properties":{"noteIndex":0},"schema":"https://github.com/citation-style-language/schema/raw/master/csl-citation.json"}</w:instrText>
      </w:r>
      <w:r w:rsidR="00926A9B">
        <w:rPr>
          <w:szCs w:val="22"/>
        </w:rPr>
        <w:fldChar w:fldCharType="separate"/>
      </w:r>
      <w:r w:rsidR="00926A9B" w:rsidRPr="00926A9B">
        <w:rPr>
          <w:noProof/>
          <w:szCs w:val="22"/>
        </w:rPr>
        <w:t>(KPMG, 2019)</w:t>
      </w:r>
      <w:r w:rsidR="00926A9B">
        <w:rPr>
          <w:szCs w:val="22"/>
        </w:rPr>
        <w:fldChar w:fldCharType="end"/>
      </w:r>
      <w:r w:rsidRPr="00F55522">
        <w:rPr>
          <w:szCs w:val="22"/>
        </w:rPr>
        <w:t>, por lo cual hay un margen de mejora frente a este aspecto.</w:t>
      </w:r>
    </w:p>
    <w:p w14:paraId="6F78008A" w14:textId="0E2E43A8" w:rsidR="006C6D6A" w:rsidRPr="00F55522" w:rsidRDefault="00BA184C" w:rsidP="00D06F8C">
      <w:pPr>
        <w:spacing w:before="0" w:after="240" w:line="360" w:lineRule="auto"/>
        <w:jc w:val="both"/>
        <w:rPr>
          <w:szCs w:val="22"/>
        </w:rPr>
      </w:pPr>
      <w:r>
        <w:rPr>
          <w:szCs w:val="22"/>
        </w:rPr>
        <w:t>L</w:t>
      </w:r>
      <w:r w:rsidR="006C6D6A" w:rsidRPr="00F55522">
        <w:rPr>
          <w:szCs w:val="22"/>
        </w:rPr>
        <w:t>os avances que se han logrado en cuanto a gestión de riesgos climáticos han sido sobre todo desarrollados a nivel internacional, nacional y regional, pero a</w:t>
      </w:r>
      <w:r w:rsidR="00346023">
        <w:rPr>
          <w:szCs w:val="22"/>
        </w:rPr>
        <w:t>ú</w:t>
      </w:r>
      <w:r w:rsidR="006C6D6A" w:rsidRPr="00F55522">
        <w:rPr>
          <w:szCs w:val="22"/>
        </w:rPr>
        <w:t>n carecen de potencial en el sector empresarial, por lo que se hace urgente buscar soluciones a estos problemas</w:t>
      </w:r>
      <w:r w:rsidR="000719A3">
        <w:rPr>
          <w:szCs w:val="22"/>
        </w:rPr>
        <w:t xml:space="preserve"> </w:t>
      </w:r>
      <w:r w:rsidR="006C6D6A" w:rsidRPr="00F55522">
        <w:rPr>
          <w:szCs w:val="22"/>
        </w:rPr>
        <w:fldChar w:fldCharType="begin" w:fldLock="1"/>
      </w:r>
      <w:r w:rsidR="00725CB1">
        <w:rPr>
          <w:szCs w:val="22"/>
        </w:rPr>
        <w:instrText>ADDIN CSL_CITATION {"citationItems":[{"id":"ITEM-1","itemData":{"DOI":"10.1007/s00521-020-05510-5","ISBN":"0123456789","ISSN":"14333058","abstract":"As the big data, Internet of Things, cloud computing, and other ideas and technologies are integrated into social life, the big data technology can improve the corporate financial data processing. At the same time, with the fiercer competition between enterprises, investors and enterprises have paid more attention to the role of financial crisis warning in corporate management. The work selected the multiple financial indicators based on big data mining in Internet of Things. The rules between all financial indicators were found to choose more representative financial risk indicators. Then the frequent fuzzy option set was determined by FCM (fuzzy cluster method), parallel rules, and parallel mining algorithm, thus obtaining the fuzzy association rules that satisfy the minimum fuzzy credibility. Finally, the relevant data of listed companies were selected to analyze the corporate financial risks, which verified the method proposed in the work.","author":[{"dropping-particle":"","family":"Shang","given":"Hongyu","non-dropping-particle":"","parse-names":false,"suffix":""},{"dropping-particle":"","family":"Lu","given":"Duan","non-dropping-particle":"","parse-names":false,"suffix":""},{"dropping-particle":"","family":"Zhou","given":"Qingyuan","non-dropping-particle":"","parse-names":false,"suffix":""}],"container-title":"Neural Computing and Applications","id":"ITEM-1","issue":"9","issued":{"date-parts":[["2021"]]},"page":"3901-3909","publisher":"Springer London","title":"Early warning of enterprise finance risk of big data mining in internet of things based on fuzzy association rules","type":"article-journal","volume":"33"},"uris":["http://www.mendeley.com/documents/?uuid=a11b764a-2028-4aaf-b7ec-600d53efb50d"]}],"mendeley":{"formattedCitation":"(Shang et al., 2021)","plainTextFormattedCitation":"(Shang et al., 2021)","previouslyFormattedCitation":"(Shang et al., 2021)"},"properties":{"noteIndex":0},"schema":"https://github.com/citation-style-language/schema/raw/master/csl-citation.json"}</w:instrText>
      </w:r>
      <w:r w:rsidR="006C6D6A" w:rsidRPr="00F55522">
        <w:rPr>
          <w:szCs w:val="22"/>
        </w:rPr>
        <w:fldChar w:fldCharType="separate"/>
      </w:r>
      <w:r w:rsidR="00F3548A" w:rsidRPr="00F3548A">
        <w:rPr>
          <w:noProof/>
          <w:szCs w:val="22"/>
        </w:rPr>
        <w:t>(Shang et al., 2021)</w:t>
      </w:r>
      <w:r w:rsidR="006C6D6A" w:rsidRPr="00F55522">
        <w:rPr>
          <w:szCs w:val="22"/>
        </w:rPr>
        <w:fldChar w:fldCharType="end"/>
      </w:r>
      <w:r w:rsidR="006C6D6A" w:rsidRPr="00F55522">
        <w:rPr>
          <w:szCs w:val="22"/>
        </w:rPr>
        <w:t xml:space="preserve">. Como resultado de esta falta de información y estado del arte al respecto, las empresas apuestan por soluciones reactivas, es decir, soluciones que se dan cuando el problema ya está presente </w:t>
      </w:r>
      <w:r w:rsidR="006C6D6A" w:rsidRPr="00F55522">
        <w:rPr>
          <w:szCs w:val="22"/>
        </w:rPr>
        <w:fldChar w:fldCharType="begin" w:fldLock="1"/>
      </w:r>
      <w:r w:rsidR="006C6D6A" w:rsidRPr="00F55522">
        <w:rPr>
          <w:szCs w:val="22"/>
        </w:rPr>
        <w:instrText>ADDIN CSL_CITATION {"citationItems":[{"id":"ITEM-1","itemData":{"DOI":"10.1016/j.jclepro.2017.07.056","ISSN":"09596526","abstract":"In recent years, scholars have published numerous studies dealing with the consequences of climate change for businesses’ activity. However, a more holistic understanding of companies’ perceptions of and responses to physical, regulatory, and market-related climate risks across a wider range of sectors is still missing. To address this gap, this paper provides an empirical analysis of corporate climate risk perception and countermeasures for companies in industries regulated and not regulated by climate policy. Drawing on data from the Carbon Disclosure Project of a size-matched sample of 126 European-based companies, it is shown that most firms feel less exposed to physical and market risks than to regulatory risks. This is because physical risks are expected to materialize in the more distant future and the realization of market risks is considered rather unlikely. Moreover, the results indicate that firms in regulated industries implement more regulatory response measures than firms that are part of non-regulated industries, while, interestingly, there are no significant differences between the two groups in exposure and responses to physical and market risks. By discussing climate-related risks and highlighting the significant role of regulation in spurring corporate action in the context of climate change, this paper holds important implications for corporate managers and policy makers.","author":[{"dropping-particle":"","family":"Sakhel","given":"Alice","non-dropping-particle":"","parse-names":false,"suffix":""}],"container-title":"Journal of Cleaner Production","id":"ITEM-1","issued":{"date-parts":[["2017"]]},"page":"103-118","publisher":"Elsevier Ltd","title":"Corporate climate risk management: Are European companies prepared?","type":"article-journal","volume":"165"},"uris":["http://www.mendeley.com/documents/?uuid=0e2fbe26-3121-455f-b570-9e359712350c"]}],"mendeley":{"formattedCitation":"(Sakhel, 2017)","plainTextFormattedCitation":"(Sakhel, 2017)","previouslyFormattedCitation":"(Sakhel, 2017)"},"properties":{"noteIndex":0},"schema":"https://github.com/citation-style-language/schema/raw/master/csl-citation.json"}</w:instrText>
      </w:r>
      <w:r w:rsidR="006C6D6A" w:rsidRPr="00F55522">
        <w:rPr>
          <w:szCs w:val="22"/>
        </w:rPr>
        <w:fldChar w:fldCharType="separate"/>
      </w:r>
      <w:r w:rsidR="006C6D6A" w:rsidRPr="00F55522">
        <w:rPr>
          <w:noProof/>
          <w:szCs w:val="22"/>
        </w:rPr>
        <w:t>(Sakhel, 2017)</w:t>
      </w:r>
      <w:r w:rsidR="006C6D6A" w:rsidRPr="00F55522">
        <w:rPr>
          <w:szCs w:val="22"/>
        </w:rPr>
        <w:fldChar w:fldCharType="end"/>
      </w:r>
      <w:r w:rsidR="00E240FC">
        <w:rPr>
          <w:szCs w:val="22"/>
        </w:rPr>
        <w:t>.</w:t>
      </w:r>
      <w:r w:rsidR="006C6D6A" w:rsidRPr="00F55522">
        <w:rPr>
          <w:szCs w:val="22"/>
        </w:rPr>
        <w:t xml:space="preserve"> </w:t>
      </w:r>
      <w:proofErr w:type="spellStart"/>
      <w:r w:rsidR="00E46EBA">
        <w:rPr>
          <w:szCs w:val="22"/>
        </w:rPr>
        <w:t>Sakhel</w:t>
      </w:r>
      <w:proofErr w:type="spellEnd"/>
      <w:r w:rsidR="00E46EBA">
        <w:rPr>
          <w:szCs w:val="22"/>
        </w:rPr>
        <w:t xml:space="preserve"> </w:t>
      </w:r>
      <w:r w:rsidR="004A70F6">
        <w:rPr>
          <w:szCs w:val="22"/>
        </w:rPr>
        <w:t>e</w:t>
      </w:r>
      <w:r w:rsidR="006C6D6A" w:rsidRPr="00F55522">
        <w:rPr>
          <w:szCs w:val="22"/>
        </w:rPr>
        <w:t xml:space="preserve">ncontró que las empresas utilizan la opinión de expertos para reducir la incertidumbre y el “Lobby” como dos de sus principales estrategias contra el riesgo climático. El problema con estos y otros mecanismos para </w:t>
      </w:r>
      <w:r w:rsidR="008B68D6">
        <w:rPr>
          <w:szCs w:val="22"/>
        </w:rPr>
        <w:t>gestionar</w:t>
      </w:r>
      <w:r w:rsidR="008B68D6" w:rsidRPr="00F55522">
        <w:rPr>
          <w:szCs w:val="22"/>
        </w:rPr>
        <w:t xml:space="preserve"> </w:t>
      </w:r>
      <w:r w:rsidR="006C6D6A" w:rsidRPr="00F55522">
        <w:rPr>
          <w:szCs w:val="22"/>
        </w:rPr>
        <w:t>el riesgo, es que son soluciones generalizadas de poco alcance que no distinguen entre los distintos tipos de riesgos climáticos existentes, esto hace que las soluciones no puedan alcanzar un punto óptimo.</w:t>
      </w:r>
    </w:p>
    <w:p w14:paraId="09B68014" w14:textId="31177557" w:rsidR="00B056AF" w:rsidRPr="00E70DF5" w:rsidRDefault="006C6D6A" w:rsidP="00D06F8C">
      <w:pPr>
        <w:spacing w:before="0" w:after="240" w:line="360" w:lineRule="auto"/>
        <w:jc w:val="both"/>
        <w:rPr>
          <w:szCs w:val="22"/>
        </w:rPr>
      </w:pPr>
      <w:r w:rsidRPr="00F55522">
        <w:rPr>
          <w:szCs w:val="22"/>
        </w:rPr>
        <w:t xml:space="preserve">Por lo tanto, </w:t>
      </w:r>
      <w:r w:rsidR="00366253">
        <w:rPr>
          <w:szCs w:val="22"/>
        </w:rPr>
        <w:t xml:space="preserve">se necesita </w:t>
      </w:r>
      <w:r w:rsidRPr="00F55522">
        <w:rPr>
          <w:szCs w:val="22"/>
        </w:rPr>
        <w:t>tener alternativas y herramientas, que no s</w:t>
      </w:r>
      <w:r w:rsidR="00366253">
        <w:rPr>
          <w:szCs w:val="22"/>
        </w:rPr>
        <w:t>ó</w:t>
      </w:r>
      <w:r w:rsidRPr="00F55522">
        <w:rPr>
          <w:szCs w:val="22"/>
        </w:rPr>
        <w:t xml:space="preserve">lo sean de ayuda para gestionar el cambio climático, sino que además </w:t>
      </w:r>
      <w:r w:rsidR="00366253">
        <w:rPr>
          <w:szCs w:val="22"/>
        </w:rPr>
        <w:t>estén</w:t>
      </w:r>
      <w:r w:rsidRPr="00F55522">
        <w:rPr>
          <w:szCs w:val="22"/>
        </w:rPr>
        <w:t xml:space="preserve"> enfocadas en un tipo de riesgo específico,</w:t>
      </w:r>
      <w:r w:rsidR="00366253">
        <w:rPr>
          <w:szCs w:val="22"/>
        </w:rPr>
        <w:t xml:space="preserve"> ya </w:t>
      </w:r>
      <w:r w:rsidR="00366253">
        <w:rPr>
          <w:szCs w:val="22"/>
        </w:rPr>
        <w:lastRenderedPageBreak/>
        <w:t>que esto</w:t>
      </w:r>
      <w:r w:rsidRPr="00F55522">
        <w:rPr>
          <w:szCs w:val="22"/>
        </w:rPr>
        <w:t xml:space="preserve"> hace que sea mucho </w:t>
      </w:r>
      <w:r w:rsidR="00CA60EA" w:rsidRPr="00F55522">
        <w:rPr>
          <w:szCs w:val="22"/>
        </w:rPr>
        <w:t>más</w:t>
      </w:r>
      <w:r w:rsidRPr="00F55522">
        <w:rPr>
          <w:szCs w:val="22"/>
        </w:rPr>
        <w:t xml:space="preserve"> sencillo encontrar soluciones</w:t>
      </w:r>
      <w:r w:rsidR="00366253">
        <w:rPr>
          <w:szCs w:val="22"/>
        </w:rPr>
        <w:t>.</w:t>
      </w:r>
      <w:r w:rsidRPr="00F55522">
        <w:rPr>
          <w:szCs w:val="22"/>
        </w:rPr>
        <w:t xml:space="preserve"> </w:t>
      </w:r>
      <w:r w:rsidR="00366253">
        <w:rPr>
          <w:szCs w:val="22"/>
        </w:rPr>
        <w:t>Además, es necesario dejar</w:t>
      </w:r>
      <w:r w:rsidRPr="00F55522">
        <w:rPr>
          <w:szCs w:val="22"/>
        </w:rPr>
        <w:t xml:space="preserve"> el enfoque </w:t>
      </w:r>
      <w:r w:rsidR="008B68D6">
        <w:rPr>
          <w:szCs w:val="22"/>
        </w:rPr>
        <w:t>tradicional</w:t>
      </w:r>
      <w:r w:rsidR="00366253">
        <w:rPr>
          <w:szCs w:val="22"/>
        </w:rPr>
        <w:t>,</w:t>
      </w:r>
      <w:r w:rsidR="008B68D6" w:rsidRPr="00F55522">
        <w:rPr>
          <w:szCs w:val="22"/>
        </w:rPr>
        <w:t xml:space="preserve"> </w:t>
      </w:r>
      <w:r w:rsidRPr="00F55522">
        <w:rPr>
          <w:szCs w:val="22"/>
        </w:rPr>
        <w:t xml:space="preserve">de responder a las problemáticas de manera reactiva, y </w:t>
      </w:r>
      <w:r w:rsidR="00366253">
        <w:rPr>
          <w:szCs w:val="22"/>
        </w:rPr>
        <w:t>comenzar</w:t>
      </w:r>
      <w:r w:rsidRPr="00F55522">
        <w:rPr>
          <w:szCs w:val="22"/>
        </w:rPr>
        <w:t xml:space="preserve"> a encontrar soluciones con un enfoque mucho </w:t>
      </w:r>
      <w:r w:rsidR="008B68D6" w:rsidRPr="00F55522">
        <w:rPr>
          <w:szCs w:val="22"/>
        </w:rPr>
        <w:t>más</w:t>
      </w:r>
      <w:r w:rsidRPr="00F55522">
        <w:rPr>
          <w:szCs w:val="22"/>
        </w:rPr>
        <w:t xml:space="preserve"> preventivo y proactivo. </w:t>
      </w:r>
      <w:r w:rsidR="00366253">
        <w:rPr>
          <w:szCs w:val="22"/>
        </w:rPr>
        <w:t>Incluso, para poder dar como resultado una toma de decisiones más especializada</w:t>
      </w:r>
      <w:r w:rsidR="006F509B" w:rsidRPr="00F55522">
        <w:rPr>
          <w:szCs w:val="22"/>
        </w:rPr>
        <w:t>,</w:t>
      </w:r>
      <w:r w:rsidRPr="00F55522">
        <w:rPr>
          <w:szCs w:val="22"/>
        </w:rPr>
        <w:t xml:space="preserve"> </w:t>
      </w:r>
      <w:r w:rsidR="00366253">
        <w:rPr>
          <w:szCs w:val="22"/>
        </w:rPr>
        <w:t>éstas deberían centrarse en</w:t>
      </w:r>
      <w:r w:rsidRPr="00F55522">
        <w:rPr>
          <w:szCs w:val="22"/>
        </w:rPr>
        <w:t xml:space="preserve"> encontrar soluciones para ciertos sectores en específico.</w:t>
      </w:r>
    </w:p>
    <w:p w14:paraId="3A1A2C5B" w14:textId="7825913A" w:rsidR="001E62C9" w:rsidRDefault="00D524D0" w:rsidP="00D06F8C">
      <w:pPr>
        <w:pStyle w:val="Ttulo2"/>
        <w:jc w:val="both"/>
      </w:pPr>
      <w:bookmarkStart w:id="9" w:name="_Toc149994741"/>
      <w:r>
        <w:t>o</w:t>
      </w:r>
      <w:r w:rsidR="005A45F6" w:rsidRPr="005648DA">
        <w:t>bjetivos del proyecto</w:t>
      </w:r>
      <w:bookmarkEnd w:id="8"/>
      <w:bookmarkEnd w:id="9"/>
    </w:p>
    <w:p w14:paraId="79D5316E" w14:textId="46F53844" w:rsidR="001E62C9" w:rsidRPr="00F55522" w:rsidRDefault="001E62C9" w:rsidP="00D06F8C">
      <w:pPr>
        <w:pStyle w:val="Ttulo3"/>
        <w:jc w:val="both"/>
        <w:rPr>
          <w:szCs w:val="24"/>
          <w:lang w:val="es-MX"/>
        </w:rPr>
      </w:pPr>
      <w:bookmarkStart w:id="10" w:name="_Toc277749584"/>
      <w:bookmarkStart w:id="11" w:name="_Toc149994742"/>
      <w:r w:rsidRPr="00F55522">
        <w:rPr>
          <w:szCs w:val="24"/>
          <w:lang w:val="es-MX"/>
        </w:rPr>
        <w:t>Objetivo General</w:t>
      </w:r>
      <w:bookmarkEnd w:id="10"/>
      <w:bookmarkEnd w:id="11"/>
    </w:p>
    <w:p w14:paraId="6C0575B1" w14:textId="334B04CC" w:rsidR="00E0736C" w:rsidRPr="00552981" w:rsidRDefault="00E0736C" w:rsidP="00D06F8C">
      <w:pPr>
        <w:spacing w:before="0" w:after="240"/>
        <w:ind w:firstLine="0"/>
        <w:jc w:val="both"/>
        <w:rPr>
          <w:szCs w:val="24"/>
          <w:lang w:val="es-MX" w:eastAsia="es-ES"/>
        </w:rPr>
      </w:pPr>
      <w:r w:rsidRPr="00552981">
        <w:rPr>
          <w:szCs w:val="24"/>
          <w:lang w:val="es-MX" w:eastAsia="es-ES"/>
        </w:rPr>
        <w:t>Proponer un modelo empleando técnicas computacionales para la priorización de riesgos climáticos de transición, que mejore los procesos de toma de decisiones relacionadas con riesgos a nivel organizacional.</w:t>
      </w:r>
    </w:p>
    <w:p w14:paraId="6ECAC425" w14:textId="77777777" w:rsidR="001E62C9" w:rsidRPr="00F55522" w:rsidRDefault="001E62C9" w:rsidP="00D06F8C">
      <w:pPr>
        <w:pStyle w:val="Ttulo3"/>
        <w:jc w:val="both"/>
        <w:rPr>
          <w:szCs w:val="24"/>
          <w:lang w:val="es-MX"/>
        </w:rPr>
      </w:pPr>
      <w:bookmarkStart w:id="12" w:name="_Toc277749585"/>
      <w:bookmarkStart w:id="13" w:name="_Toc149994743"/>
      <w:r w:rsidRPr="00F55522">
        <w:rPr>
          <w:szCs w:val="24"/>
          <w:lang w:val="es-MX"/>
        </w:rPr>
        <w:t>Objetivos Específicos</w:t>
      </w:r>
      <w:bookmarkEnd w:id="12"/>
      <w:bookmarkEnd w:id="13"/>
    </w:p>
    <w:p w14:paraId="347E4EB1" w14:textId="143FAF2B" w:rsidR="00D524D0" w:rsidRPr="00E0372D" w:rsidRDefault="00D524D0" w:rsidP="00D06F8C">
      <w:pPr>
        <w:pStyle w:val="Prrafodelista"/>
        <w:numPr>
          <w:ilvl w:val="0"/>
          <w:numId w:val="23"/>
        </w:numPr>
        <w:spacing w:before="0" w:after="240"/>
        <w:jc w:val="both"/>
        <w:rPr>
          <w:szCs w:val="24"/>
          <w:lang w:val="es-MX" w:eastAsia="es-ES"/>
        </w:rPr>
      </w:pPr>
      <w:r w:rsidRPr="00E0372D">
        <w:rPr>
          <w:szCs w:val="24"/>
          <w:lang w:val="es-MX" w:eastAsia="es-ES"/>
        </w:rPr>
        <w:t xml:space="preserve">Identificar variables </w:t>
      </w:r>
      <w:r w:rsidR="00E0736C" w:rsidRPr="00E0372D">
        <w:rPr>
          <w:szCs w:val="24"/>
          <w:lang w:val="es-MX" w:eastAsia="es-ES"/>
        </w:rPr>
        <w:t xml:space="preserve">relacionadas con riesgos climáticos de transición </w:t>
      </w:r>
      <w:r w:rsidRPr="00E0372D">
        <w:rPr>
          <w:szCs w:val="24"/>
          <w:lang w:val="es-MX" w:eastAsia="es-ES"/>
        </w:rPr>
        <w:t xml:space="preserve">que </w:t>
      </w:r>
      <w:r w:rsidR="00E0736C" w:rsidRPr="00E0372D">
        <w:rPr>
          <w:szCs w:val="24"/>
          <w:lang w:val="es-MX" w:eastAsia="es-ES"/>
        </w:rPr>
        <w:t>permitan el modelamiento a través</w:t>
      </w:r>
      <w:r w:rsidRPr="00E0372D">
        <w:rPr>
          <w:szCs w:val="24"/>
          <w:lang w:val="es-MX" w:eastAsia="es-ES"/>
        </w:rPr>
        <w:t xml:space="preserve"> de</w:t>
      </w:r>
      <w:r w:rsidR="00E0736C" w:rsidRPr="00E0372D">
        <w:rPr>
          <w:szCs w:val="24"/>
          <w:lang w:val="es-MX" w:eastAsia="es-ES"/>
        </w:rPr>
        <w:t xml:space="preserve"> una</w:t>
      </w:r>
      <w:r w:rsidRPr="00E0372D">
        <w:rPr>
          <w:szCs w:val="24"/>
          <w:lang w:val="es-MX" w:eastAsia="es-ES"/>
        </w:rPr>
        <w:t xml:space="preserve"> matriz de riesgos en el sector empresarial.</w:t>
      </w:r>
    </w:p>
    <w:p w14:paraId="6C9D9BEA" w14:textId="2C825669" w:rsidR="00D524D0" w:rsidRPr="00E0372D" w:rsidRDefault="00D524D0" w:rsidP="00D06F8C">
      <w:pPr>
        <w:pStyle w:val="Prrafodelista"/>
        <w:numPr>
          <w:ilvl w:val="0"/>
          <w:numId w:val="23"/>
        </w:numPr>
        <w:spacing w:before="0" w:after="240"/>
        <w:jc w:val="both"/>
        <w:rPr>
          <w:szCs w:val="24"/>
          <w:lang w:val="es-MX" w:eastAsia="es-ES"/>
        </w:rPr>
      </w:pPr>
      <w:r w:rsidRPr="00E0372D">
        <w:rPr>
          <w:szCs w:val="24"/>
          <w:lang w:val="es-MX" w:eastAsia="es-ES"/>
        </w:rPr>
        <w:t xml:space="preserve">Elaborar </w:t>
      </w:r>
      <w:r w:rsidR="00E70DF5" w:rsidRPr="00E0372D">
        <w:rPr>
          <w:szCs w:val="24"/>
          <w:lang w:val="es-MX" w:eastAsia="es-ES"/>
        </w:rPr>
        <w:t xml:space="preserve">una </w:t>
      </w:r>
      <w:r w:rsidRPr="00E0372D">
        <w:rPr>
          <w:szCs w:val="24"/>
          <w:lang w:val="es-MX" w:eastAsia="es-ES"/>
        </w:rPr>
        <w:t xml:space="preserve">matriz de riesgos con base en las variables de influencia en los riesgos climáticos de </w:t>
      </w:r>
      <w:r w:rsidR="00E240FC" w:rsidRPr="00E0372D">
        <w:rPr>
          <w:szCs w:val="24"/>
          <w:lang w:val="es-CO" w:eastAsia="es-ES"/>
        </w:rPr>
        <w:t>transición</w:t>
      </w:r>
      <w:r w:rsidR="00E0736C" w:rsidRPr="00E0372D">
        <w:rPr>
          <w:szCs w:val="24"/>
          <w:lang w:val="es-CO" w:eastAsia="es-ES"/>
        </w:rPr>
        <w:t xml:space="preserve"> empleando técnicas computacionales, que mejore los procesos de toma de decisiones en las organizaciones</w:t>
      </w:r>
    </w:p>
    <w:p w14:paraId="75734203" w14:textId="7F136185" w:rsidR="00D524D0" w:rsidRPr="00E0372D" w:rsidRDefault="00D524D0" w:rsidP="00D06F8C">
      <w:pPr>
        <w:pStyle w:val="Prrafodelista"/>
        <w:numPr>
          <w:ilvl w:val="0"/>
          <w:numId w:val="23"/>
        </w:numPr>
        <w:spacing w:before="0" w:after="240"/>
        <w:jc w:val="both"/>
        <w:rPr>
          <w:szCs w:val="24"/>
          <w:lang w:val="es-MX" w:eastAsia="es-ES"/>
        </w:rPr>
      </w:pPr>
      <w:r w:rsidRPr="00E0372D">
        <w:rPr>
          <w:szCs w:val="24"/>
          <w:lang w:val="es-MX" w:eastAsia="es-ES"/>
        </w:rPr>
        <w:t xml:space="preserve">Implementar un modelo computacional </w:t>
      </w:r>
      <w:r w:rsidR="00E240FC" w:rsidRPr="00E0372D">
        <w:rPr>
          <w:szCs w:val="24"/>
          <w:lang w:val="es-MX" w:eastAsia="es-ES"/>
        </w:rPr>
        <w:t xml:space="preserve">que transforme </w:t>
      </w:r>
      <w:r w:rsidRPr="00E0372D">
        <w:rPr>
          <w:szCs w:val="24"/>
          <w:lang w:val="es-MX" w:eastAsia="es-ES"/>
        </w:rPr>
        <w:t xml:space="preserve">los valores cualitativos de una matriz de riesgos, en valores numéricos interpretables mediante el uso de lógica </w:t>
      </w:r>
      <w:r w:rsidR="008B68D6" w:rsidRPr="00E0372D">
        <w:rPr>
          <w:szCs w:val="24"/>
          <w:lang w:val="es-MX" w:eastAsia="es-ES"/>
        </w:rPr>
        <w:t>borrosa</w:t>
      </w:r>
      <w:r w:rsidRPr="00E0372D">
        <w:rPr>
          <w:szCs w:val="24"/>
          <w:lang w:val="es-MX" w:eastAsia="es-ES"/>
        </w:rPr>
        <w:t>, utilizando las variables influyentes de riesgo climático de transición identificadas</w:t>
      </w:r>
    </w:p>
    <w:p w14:paraId="1AB744DC" w14:textId="2BC8C748" w:rsidR="00F7520F" w:rsidRDefault="00F7520F" w:rsidP="00D06F8C">
      <w:pPr>
        <w:pStyle w:val="Ttulo2"/>
        <w:jc w:val="both"/>
      </w:pPr>
      <w:bookmarkStart w:id="14" w:name="_Toc101000459"/>
      <w:bookmarkStart w:id="15" w:name="_Toc277749586"/>
      <w:bookmarkStart w:id="16" w:name="_Toc149994744"/>
      <w:r>
        <w:lastRenderedPageBreak/>
        <w:t xml:space="preserve">Marco </w:t>
      </w:r>
      <w:bookmarkEnd w:id="14"/>
      <w:bookmarkEnd w:id="15"/>
      <w:r w:rsidR="00FC2D70">
        <w:t>de referencia</w:t>
      </w:r>
      <w:bookmarkEnd w:id="16"/>
    </w:p>
    <w:p w14:paraId="5091E09C" w14:textId="39B43322" w:rsidR="00D524D0" w:rsidRDefault="00D524D0" w:rsidP="00D06F8C">
      <w:pPr>
        <w:pStyle w:val="Ttulo3"/>
        <w:jc w:val="both"/>
      </w:pPr>
      <w:bookmarkStart w:id="17" w:name="_Toc149994745"/>
      <w:r>
        <w:t>Antecedentes</w:t>
      </w:r>
      <w:bookmarkEnd w:id="17"/>
    </w:p>
    <w:p w14:paraId="7F720719" w14:textId="191C1793" w:rsidR="00D524D0" w:rsidRPr="00F55522" w:rsidRDefault="00D524D0" w:rsidP="00D06F8C">
      <w:pPr>
        <w:spacing w:line="360" w:lineRule="auto"/>
        <w:jc w:val="both"/>
        <w:rPr>
          <w:szCs w:val="22"/>
          <w:lang w:eastAsia="es-ES"/>
        </w:rPr>
      </w:pPr>
      <w:r w:rsidRPr="00F55522">
        <w:rPr>
          <w:szCs w:val="22"/>
          <w:lang w:eastAsia="es-ES"/>
        </w:rPr>
        <w:t>La gestión del riesgo se ha convertido en un factor clave para el éxito a mediano y largo plazo de las empresas, ya que permite tener planes y tomar decisiones que prevengan o mitiguen el impacto del riesgo descrito. Dentro de los muchos tipos de riesgos que afectan a las empresas, los riesgos climáticos están siendo tenidos en cuenta</w:t>
      </w:r>
      <w:r w:rsidR="00B15B5A" w:rsidRPr="00B15B5A">
        <w:rPr>
          <w:szCs w:val="22"/>
          <w:lang w:eastAsia="es-ES"/>
        </w:rPr>
        <w:t xml:space="preserve"> </w:t>
      </w:r>
      <w:r w:rsidR="00B15B5A" w:rsidRPr="00F55522">
        <w:rPr>
          <w:szCs w:val="22"/>
          <w:lang w:eastAsia="es-ES"/>
        </w:rPr>
        <w:t>cada vez más</w:t>
      </w:r>
      <w:r w:rsidRPr="00F55522">
        <w:rPr>
          <w:szCs w:val="22"/>
          <w:lang w:eastAsia="es-ES"/>
        </w:rPr>
        <w:t xml:space="preserve">, debido a la velocidad con la que el clima está cambiando el panorama </w:t>
      </w:r>
      <w:r w:rsidRPr="00F55522">
        <w:rPr>
          <w:szCs w:val="22"/>
          <w:lang w:eastAsia="es-ES"/>
        </w:rPr>
        <w:fldChar w:fldCharType="begin" w:fldLock="1"/>
      </w:r>
      <w:r w:rsidRPr="00F55522">
        <w:rPr>
          <w:szCs w:val="22"/>
          <w:lang w:eastAsia="es-ES"/>
        </w:rPr>
        <w:instrText>ADDIN CSL_CITATION {"citationItems":[{"id":"ITEM-1","itemData":{"DOI":"10.1016/j.jclepro.2017.07.056","ISSN":"09596526","abstract":"In recent years, scholars have published numerous studies dealing with the consequences of climate change for businesses’ activity. However, a more holistic understanding of companies’ perceptions of and responses to physical, regulatory, and market-related climate risks across a wider range of sectors is still missing. To address this gap, this paper provides an empirical analysis of corporate climate risk perception and countermeasures for companies in industries regulated and not regulated by climate policy. Drawing on data from the Carbon Disclosure Project of a size-matched sample of 126 European-based companies, it is shown that most firms feel less exposed to physical and market risks than to regulatory risks. This is because physical risks are expected to materialize in the more distant future and the realization of market risks is considered rather unlikely. Moreover, the results indicate that firms in regulated industries implement more regulatory response measures than firms that are part of non-regulated industries, while, interestingly, there are no significant differences between the two groups in exposure and responses to physical and market risks. By discussing climate-related risks and highlighting the significant role of regulation in spurring corporate action in the context of climate change, this paper holds important implications for corporate managers and policy makers.","author":[{"dropping-particle":"","family":"Sakhel","given":"Alice","non-dropping-particle":"","parse-names":false,"suffix":""}],"container-title":"Journal of Cleaner Production","id":"ITEM-1","issued":{"date-parts":[["2017"]]},"page":"103-118","publisher":"Elsevier Ltd","title":"Corporate climate risk management: Are European companies prepared?","type":"article-journal","volume":"165"},"uris":["http://www.mendeley.com/documents/?uuid=0e2fbe26-3121-455f-b570-9e359712350c"]}],"mendeley":{"formattedCitation":"(Sakhel, 2017)","plainTextFormattedCitation":"(Sakhel, 2017)","previouslyFormattedCitation":"(Sakhel, 2017)"},"properties":{"noteIndex":0},"schema":"https://github.com/citation-style-language/schema/raw/master/csl-citation.json"}</w:instrText>
      </w:r>
      <w:r w:rsidRPr="00F55522">
        <w:rPr>
          <w:szCs w:val="22"/>
          <w:lang w:eastAsia="es-ES"/>
        </w:rPr>
        <w:fldChar w:fldCharType="separate"/>
      </w:r>
      <w:r w:rsidRPr="00F55522">
        <w:rPr>
          <w:noProof/>
          <w:szCs w:val="22"/>
          <w:lang w:eastAsia="es-ES"/>
        </w:rPr>
        <w:t>(Sakhel, 2017)</w:t>
      </w:r>
      <w:r w:rsidRPr="00F55522">
        <w:rPr>
          <w:szCs w:val="22"/>
          <w:lang w:eastAsia="es-ES"/>
        </w:rPr>
        <w:fldChar w:fldCharType="end"/>
      </w:r>
      <w:r w:rsidRPr="00F55522">
        <w:rPr>
          <w:szCs w:val="22"/>
          <w:lang w:eastAsia="es-ES"/>
        </w:rPr>
        <w:t xml:space="preserve">. </w:t>
      </w:r>
      <w:r w:rsidR="00B15B5A" w:rsidRPr="00A056C1">
        <w:rPr>
          <w:szCs w:val="22"/>
          <w:lang w:eastAsia="es-ES"/>
        </w:rPr>
        <w:t>Aunque</w:t>
      </w:r>
      <w:r w:rsidRPr="00A056C1">
        <w:rPr>
          <w:szCs w:val="22"/>
          <w:lang w:eastAsia="es-ES"/>
        </w:rPr>
        <w:t xml:space="preserve"> existe mucha literatura sobre gestión del riesgo y modelos para tal propósito, </w:t>
      </w:r>
      <w:r w:rsidR="00B15B5A" w:rsidRPr="00A056C1">
        <w:rPr>
          <w:szCs w:val="22"/>
          <w:lang w:eastAsia="es-ES"/>
        </w:rPr>
        <w:t xml:space="preserve">sólo se pueden ver </w:t>
      </w:r>
      <w:r w:rsidRPr="00A056C1">
        <w:rPr>
          <w:szCs w:val="22"/>
          <w:lang w:eastAsia="es-ES"/>
        </w:rPr>
        <w:t>algunos avances en cuanto al riesgo climático, poniendo como enfoque general, medidas o herramientas que reduzcan el impacto financiero o económico en una empresa como consecuencia del cambio climático.</w:t>
      </w:r>
      <w:r w:rsidRPr="00F55522">
        <w:rPr>
          <w:szCs w:val="22"/>
          <w:lang w:eastAsia="es-ES"/>
        </w:rPr>
        <w:t xml:space="preserve"> </w:t>
      </w:r>
    </w:p>
    <w:p w14:paraId="54873A53" w14:textId="77777777" w:rsidR="00D524D0" w:rsidRPr="00F55522" w:rsidRDefault="00D524D0" w:rsidP="00D06F8C">
      <w:pPr>
        <w:spacing w:line="360" w:lineRule="auto"/>
        <w:jc w:val="both"/>
        <w:rPr>
          <w:szCs w:val="22"/>
          <w:lang w:eastAsia="es-ES"/>
        </w:rPr>
      </w:pPr>
      <w:r w:rsidRPr="00F55522">
        <w:rPr>
          <w:szCs w:val="22"/>
          <w:lang w:eastAsia="es-ES"/>
        </w:rPr>
        <w:fldChar w:fldCharType="begin" w:fldLock="1"/>
      </w:r>
      <w:r w:rsidRPr="00F55522">
        <w:rPr>
          <w:szCs w:val="22"/>
          <w:lang w:eastAsia="es-ES"/>
        </w:rPr>
        <w:instrText>ADDIN CSL_CITATION {"citationItems":[{"id":"ITEM-1","itemData":{"DOI":"10.1016/j.eswa.2018.01.001","ISSN":"0957-4174","author":[{"dropping-particle":"","family":"Peña","given":"Alejandro","non-dropping-particle":"","parse-names":false,"suffix":""},{"dropping-particle":"","family":"Bonet","given":"Isis","non-dropping-particle":"","parse-names":false,"suffix":""},{"dropping-particle":"","family":"Lochmuller","given":"Christian","non-dropping-particle":"","parse-names":false,"suffix":""},{"dropping-particle":"","family":"Chiclana","given":"Francisco","non-dropping-particle":"","parse-names":false,"suffix":""},{"dropping-particle":"","family":"Góngora","given":"Mario","non-dropping-particle":"","parse-names":false,"suffix":""}],"container-title":"Expert Systems With Applications","id":"ITEM-1","issued":{"date-parts":[["2018"]]},"page":"11-26","publisher":"Elsevier Ltd","title":"An integrated inverse adaptive neural fuzzy system with Monte-Carlo sampling method for operational risk management","type":"article-journal","volume":"98"},"uris":["http://www.mendeley.com/documents/?uuid=1317db5e-0c99-4054-a2ac-6a6520a323b8"]}],"mendeley":{"formattedCitation":"(Peña, Bonet, Lochmuller, Chiclana, &amp; Góngora, 2018)","manualFormatting":"Peña, Bonet, Lochmuller, Chiclana, &amp; Góngora (2018)","plainTextFormattedCitation":"(Peña, Bonet, Lochmuller, Chiclana, &amp; Góngora, 2018)","previouslyFormattedCitation":"(Peña, Bonet, Lochmuller, Chiclana, &amp; Góngora, 2018)"},"properties":{"noteIndex":0},"schema":"https://github.com/citation-style-language/schema/raw/master/csl-citation.json"}</w:instrText>
      </w:r>
      <w:r w:rsidRPr="00F55522">
        <w:rPr>
          <w:szCs w:val="22"/>
          <w:lang w:eastAsia="es-ES"/>
        </w:rPr>
        <w:fldChar w:fldCharType="separate"/>
      </w:r>
      <w:r w:rsidRPr="00F55522">
        <w:rPr>
          <w:noProof/>
          <w:szCs w:val="22"/>
          <w:lang w:eastAsia="es-ES"/>
        </w:rPr>
        <w:t>Peña, Bonet, Lochmuller, Chiclana, &amp; Góngora (2018)</w:t>
      </w:r>
      <w:r w:rsidRPr="00F55522">
        <w:rPr>
          <w:szCs w:val="22"/>
          <w:lang w:eastAsia="es-ES"/>
        </w:rPr>
        <w:fldChar w:fldCharType="end"/>
      </w:r>
      <w:r w:rsidRPr="00F55522">
        <w:rPr>
          <w:szCs w:val="22"/>
          <w:lang w:eastAsia="es-ES"/>
        </w:rPr>
        <w:t>, describen un modelo para manejar el riesgo operacional, a través de lógica difusa, y usando simulación Montecarlo como método de muestreo, con lo cual se permite ver cómo la gestión del riesgo de una organización va evolucionando con el tiempo, y afecta en la distribución de pérdidas usada para calcular el valor operacional en riesgo.</w:t>
      </w:r>
    </w:p>
    <w:p w14:paraId="62D55FE3" w14:textId="287E4660" w:rsidR="00D524D0" w:rsidRPr="00F55522" w:rsidRDefault="00D524D0" w:rsidP="00D06F8C">
      <w:pPr>
        <w:spacing w:line="360" w:lineRule="auto"/>
        <w:jc w:val="both"/>
        <w:rPr>
          <w:szCs w:val="22"/>
          <w:lang w:eastAsia="es-ES"/>
        </w:rPr>
      </w:pPr>
      <w:r w:rsidRPr="00F55522">
        <w:rPr>
          <w:szCs w:val="22"/>
          <w:lang w:eastAsia="es-ES"/>
        </w:rPr>
        <w:t xml:space="preserve">Por otro lado, se encuentra que </w:t>
      </w:r>
      <w:r w:rsidRPr="00F55522">
        <w:rPr>
          <w:szCs w:val="22"/>
          <w:lang w:eastAsia="es-ES"/>
        </w:rPr>
        <w:fldChar w:fldCharType="begin" w:fldLock="1"/>
      </w:r>
      <w:r w:rsidRPr="00F55522">
        <w:rPr>
          <w:szCs w:val="22"/>
          <w:lang w:eastAsia="es-ES"/>
        </w:rPr>
        <w:instrText>ADDIN CSL_CITATION {"citationItems":[{"id":"ITEM-1","itemData":{"DOI":"10.3390/risks4030028","author":[{"dropping-particle":"","family":"Dundon","given":"Leah A","non-dropping-particle":"","parse-names":false,"suffix":""},{"dropping-particle":"","family":"Nelson","given":"Katherine S","non-dropping-particle":"","parse-names":false,"suffix":""},{"dropping-particle":"","family":"Camp","given":"Janey","non-dropping-particle":"","parse-names":false,"suffix":""},{"dropping-particle":"","family":"Abkowitz","given":"Mark","non-dropping-particle":"","parse-names":false,"suffix":""},{"dropping-particle":"","family":"Jones","given":"Alan","non-dropping-particle":"","parse-names":false,"suffix":""}],"id":"ITEM-1","issued":{"date-parts":[["2016"]]},"title":"Regional Vulnerability Screening Assessments of Transportation Infrastructure","type":"article-journal"},"uris":["http://www.mendeley.com/documents/?uuid=ac36cd1e-07de-401f-a173-7ad54a496f35"]}],"mendeley":{"formattedCitation":"(Dundon, Nelson, Camp, Abkowitz, &amp; Jones, 2016)","manualFormatting":"Dundon, Nelson, Camp, Abkowitz, &amp; Jones (2016)","plainTextFormattedCitation":"(Dundon, Nelson, Camp, Abkowitz, &amp; Jones, 2016)","previouslyFormattedCitation":"(Dundon, Nelson, Camp, Abkowitz, &amp; Jones, 2016)"},"properties":{"noteIndex":0},"schema":"https://github.com/citation-style-language/schema/raw/master/csl-citation.json"}</w:instrText>
      </w:r>
      <w:r w:rsidRPr="00F55522">
        <w:rPr>
          <w:szCs w:val="22"/>
          <w:lang w:eastAsia="es-ES"/>
        </w:rPr>
        <w:fldChar w:fldCharType="separate"/>
      </w:r>
      <w:r w:rsidRPr="00F55522">
        <w:rPr>
          <w:noProof/>
          <w:szCs w:val="22"/>
          <w:lang w:eastAsia="es-ES"/>
        </w:rPr>
        <w:t>Dundon, Nelson, Camp, Abkowitz, &amp; Jones (2016)</w:t>
      </w:r>
      <w:r w:rsidRPr="00F55522">
        <w:rPr>
          <w:szCs w:val="22"/>
          <w:lang w:eastAsia="es-ES"/>
        </w:rPr>
        <w:fldChar w:fldCharType="end"/>
      </w:r>
      <w:r w:rsidRPr="00F55522">
        <w:rPr>
          <w:szCs w:val="22"/>
          <w:lang w:eastAsia="es-ES"/>
        </w:rPr>
        <w:t xml:space="preserve"> describ</w:t>
      </w:r>
      <w:r w:rsidR="00E70DF5">
        <w:rPr>
          <w:szCs w:val="22"/>
          <w:lang w:eastAsia="es-ES"/>
        </w:rPr>
        <w:t>ieron</w:t>
      </w:r>
      <w:r w:rsidRPr="00F55522">
        <w:rPr>
          <w:szCs w:val="22"/>
          <w:lang w:eastAsia="es-ES"/>
        </w:rPr>
        <w:t xml:space="preserve"> una metodología para recompilar y utilizar datos relacionados con condiciones de clima normales y extremas para identificar y cuantificar el impacto de riesgos climáticos asociados con algunos tipos de infraestructuras de transporte, con el propósito de gestionar el riesgo a partir de esta información.</w:t>
      </w:r>
    </w:p>
    <w:p w14:paraId="2ECC6A39" w14:textId="261A67EA" w:rsidR="00D524D0" w:rsidRPr="00F55522" w:rsidRDefault="0013038F" w:rsidP="00D06F8C">
      <w:pPr>
        <w:spacing w:line="360" w:lineRule="auto"/>
        <w:jc w:val="both"/>
        <w:rPr>
          <w:szCs w:val="22"/>
          <w:lang w:eastAsia="es-ES"/>
        </w:rPr>
      </w:pPr>
      <w:r>
        <w:rPr>
          <w:szCs w:val="22"/>
          <w:lang w:eastAsia="es-ES"/>
        </w:rPr>
        <w:t>A</w:t>
      </w:r>
      <w:r w:rsidR="00D524D0" w:rsidRPr="00F55522">
        <w:rPr>
          <w:szCs w:val="22"/>
          <w:lang w:eastAsia="es-ES"/>
        </w:rPr>
        <w:t xml:space="preserve">demás, </w:t>
      </w:r>
      <w:r>
        <w:rPr>
          <w:szCs w:val="22"/>
          <w:lang w:eastAsia="es-ES"/>
        </w:rPr>
        <w:t xml:space="preserve">hay </w:t>
      </w:r>
      <w:r w:rsidR="00D524D0" w:rsidRPr="00F55522">
        <w:rPr>
          <w:szCs w:val="22"/>
          <w:lang w:eastAsia="es-ES"/>
        </w:rPr>
        <w:t xml:space="preserve">algunos ejemplos en los cuales se utilizan algoritmos basados en lógica difusa para reducir el nivel de incertidumbre de los riesgos climáticos, con el propósito de reevaluar los métodos de identificación y gestión de riesgos existentes, y de esta manera ayudar a las organizaciones a tomar mejores decisiones, bajo menos incertidumbre </w:t>
      </w:r>
      <w:r w:rsidR="00D524D0" w:rsidRPr="00F55522">
        <w:rPr>
          <w:szCs w:val="22"/>
          <w:lang w:eastAsia="es-ES"/>
        </w:rPr>
        <w:fldChar w:fldCharType="begin" w:fldLock="1"/>
      </w:r>
      <w:r w:rsidR="00D524D0" w:rsidRPr="00F55522">
        <w:rPr>
          <w:szCs w:val="22"/>
          <w:lang w:eastAsia="es-ES"/>
        </w:rPr>
        <w:instrText>ADDIN CSL_CITATION {"citationItems":[{"id":"ITEM-1","itemData":{"DOI":"10.17213/2312-6469-2019-2-224-241","author":[{"dropping-particle":"","family":"Ранхигс","given":"Вологодский","non-dropping-particle":"","parse-names":false,"suffix":""}],"id":"ITEM-1","issued":{"date-parts":[["2019"]]},"page":"225-242","title":"ИНСТРУМЕНТАРИЯ ОЦЕНКИ КЛИМАТИЧЕСКИХ РИСКОВ ISSN 2312-6469 Cherepovets State University , Cherepovets , Russia Vologda branch RANHIGS , Vologda , Russia Stavropol State Agrarian University , Stavropol , Russia С точки зрения обеспечения устойчивого развити","type":"article-journal"},"uris":["http://www.mendeley.com/documents/?uuid=e707501b-dc6d-4332-9ddd-40b0f20bc0ac"]}],"mendeley":{"formattedCitation":"(Ранхигс, 2019)","plainTextFormattedCitation":"(Ранхигс, 2019)","previouslyFormattedCitation":"(Ранхигс, 2019)"},"properties":{"noteIndex":0},"schema":"https://github.com/citation-style-language/schema/raw/master/csl-citation.json"}</w:instrText>
      </w:r>
      <w:r w:rsidR="00D524D0" w:rsidRPr="00F55522">
        <w:rPr>
          <w:szCs w:val="22"/>
          <w:lang w:eastAsia="es-ES"/>
        </w:rPr>
        <w:fldChar w:fldCharType="separate"/>
      </w:r>
      <w:r w:rsidR="00D524D0" w:rsidRPr="00F55522">
        <w:rPr>
          <w:noProof/>
          <w:szCs w:val="22"/>
          <w:lang w:eastAsia="es-ES"/>
        </w:rPr>
        <w:t>(Ранхигс, 2019)</w:t>
      </w:r>
      <w:r w:rsidR="00D524D0" w:rsidRPr="00F55522">
        <w:rPr>
          <w:szCs w:val="22"/>
          <w:lang w:eastAsia="es-ES"/>
        </w:rPr>
        <w:fldChar w:fldCharType="end"/>
      </w:r>
      <w:r w:rsidR="00D524D0" w:rsidRPr="00F55522">
        <w:rPr>
          <w:szCs w:val="22"/>
          <w:lang w:eastAsia="es-ES"/>
        </w:rPr>
        <w:t>.</w:t>
      </w:r>
    </w:p>
    <w:p w14:paraId="7313CF9D" w14:textId="6CDE7BF0" w:rsidR="00D524D0" w:rsidRPr="00F55522" w:rsidRDefault="006840A0" w:rsidP="00D06F8C">
      <w:pPr>
        <w:spacing w:line="360" w:lineRule="auto"/>
        <w:jc w:val="both"/>
        <w:rPr>
          <w:szCs w:val="22"/>
          <w:lang w:eastAsia="es-ES"/>
        </w:rPr>
      </w:pPr>
      <w:r>
        <w:rPr>
          <w:szCs w:val="22"/>
          <w:lang w:eastAsia="es-ES"/>
        </w:rPr>
        <w:lastRenderedPageBreak/>
        <w:t xml:space="preserve">Por otro lado, </w:t>
      </w:r>
      <w:r w:rsidR="00D524D0" w:rsidRPr="00F55522">
        <w:rPr>
          <w:szCs w:val="22"/>
          <w:lang w:eastAsia="es-ES"/>
        </w:rPr>
        <w:fldChar w:fldCharType="begin" w:fldLock="1"/>
      </w:r>
      <w:r w:rsidR="00D524D0" w:rsidRPr="00F55522">
        <w:rPr>
          <w:szCs w:val="22"/>
          <w:lang w:eastAsia="es-ES"/>
        </w:rPr>
        <w:instrText>ADDIN CSL_CITATION {"citationItems":[{"id":"ITEM-1","itemData":{"DOI":"10.3390/su8101013","author":[{"dropping-particle":"","family":"Kim","given":"Donghyun","non-dropping-particle":"","parse-names":false,"suffix":""},{"dropping-particle":"","family":"Lee","given":"Junbeom","non-dropping-particle":"","parse-names":false,"suffix":""}],"id":"ITEM-1","issued":{"date-parts":[["2016"]]},"title":"Development of a Web-Based Tool for Climate Change Risk Assessment in the Business Sector","type":"article-journal"},"uris":["http://www.mendeley.com/documents/?uuid=e7ac2342-d853-4365-91ef-781bbf4b7d69"]}],"mendeley":{"formattedCitation":"(Kim &amp; Lee, 2016)","manualFormatting":"Kim &amp; Lee (2016)","plainTextFormattedCitation":"(Kim &amp; Lee, 2016)","previouslyFormattedCitation":"(Kim &amp; Lee, 2016)"},"properties":{"noteIndex":0},"schema":"https://github.com/citation-style-language/schema/raw/master/csl-citation.json"}</w:instrText>
      </w:r>
      <w:r w:rsidR="00D524D0" w:rsidRPr="00F55522">
        <w:rPr>
          <w:szCs w:val="22"/>
          <w:lang w:eastAsia="es-ES"/>
        </w:rPr>
        <w:fldChar w:fldCharType="separate"/>
      </w:r>
      <w:r w:rsidR="00D524D0" w:rsidRPr="00F55522">
        <w:rPr>
          <w:noProof/>
          <w:szCs w:val="22"/>
          <w:lang w:eastAsia="es-ES"/>
        </w:rPr>
        <w:t>Kim &amp; Lee (2016)</w:t>
      </w:r>
      <w:r w:rsidR="00D524D0" w:rsidRPr="00F55522">
        <w:rPr>
          <w:szCs w:val="22"/>
          <w:lang w:eastAsia="es-ES"/>
        </w:rPr>
        <w:fldChar w:fldCharType="end"/>
      </w:r>
      <w:r w:rsidR="00D524D0" w:rsidRPr="00F55522">
        <w:rPr>
          <w:szCs w:val="22"/>
          <w:lang w:eastAsia="es-ES"/>
        </w:rPr>
        <w:t xml:space="preserve"> aportan al problema, proponiendo una herramienta basada en topología de red, que relaciona los factores naturales con los factores dentro de la organización y describe las incidencias entre estos dos factores. En este trabajo, se adapta la solución al proceso de ISO 31000</w:t>
      </w:r>
      <w:r w:rsidR="00437CFD">
        <w:rPr>
          <w:szCs w:val="22"/>
          <w:lang w:eastAsia="es-ES"/>
        </w:rPr>
        <w:t>, que define directrices para la gestión de riesgos empresariales</w:t>
      </w:r>
      <w:r w:rsidR="00D524D0" w:rsidRPr="00F55522">
        <w:rPr>
          <w:szCs w:val="22"/>
          <w:lang w:eastAsia="es-ES"/>
        </w:rPr>
        <w:t>, con lo cual se facilita la identificación, clasificación, evaluación y control de los riesgos climáticos en cuestión.</w:t>
      </w:r>
    </w:p>
    <w:p w14:paraId="5A10C21B" w14:textId="77524613" w:rsidR="00D524D0" w:rsidRPr="00F55522" w:rsidRDefault="00D524D0" w:rsidP="00D06F8C">
      <w:pPr>
        <w:spacing w:line="360" w:lineRule="auto"/>
        <w:jc w:val="both"/>
        <w:rPr>
          <w:szCs w:val="22"/>
          <w:lang w:eastAsia="es-ES"/>
        </w:rPr>
      </w:pPr>
      <w:r w:rsidRPr="00F55522">
        <w:rPr>
          <w:szCs w:val="22"/>
          <w:lang w:eastAsia="es-ES"/>
        </w:rPr>
        <w:t xml:space="preserve">Otro aporte interesante, muestra cómo se pueden relacionar los diferentes y variados factores que afectan el cambio climático, y brinda una visión </w:t>
      </w:r>
      <w:r w:rsidR="00650EEF" w:rsidRPr="00F55522">
        <w:rPr>
          <w:szCs w:val="22"/>
          <w:lang w:eastAsia="es-ES"/>
        </w:rPr>
        <w:t>más</w:t>
      </w:r>
      <w:r w:rsidRPr="00F55522">
        <w:rPr>
          <w:szCs w:val="22"/>
          <w:lang w:eastAsia="es-ES"/>
        </w:rPr>
        <w:t xml:space="preserve"> holística de estos factores que afectan en los cambios del medio ambiente </w:t>
      </w:r>
      <w:r w:rsidRPr="00F55522">
        <w:rPr>
          <w:szCs w:val="22"/>
          <w:lang w:eastAsia="es-ES"/>
        </w:rPr>
        <w:fldChar w:fldCharType="begin" w:fldLock="1"/>
      </w:r>
      <w:r w:rsidRPr="00F55522">
        <w:rPr>
          <w:szCs w:val="22"/>
          <w:lang w:eastAsia="es-ES"/>
        </w:rPr>
        <w:instrText>ADDIN CSL_CITATION {"citationItems":[{"id":"ITEM-1","itemData":{"DOI":"10.1016/j.oneear.2021.03.005","ISSN":"25903322","abstract":"Real-world experience underscores the complexity of interactions among multiple drivers of climate change risk and of how multiple risks compound or cascade. However, a holistic framework for assessing such complex climate change risks has not yet been achieved. Clarity is needed regarding the interactions that generate risk, including the role of adaptation and mitigation responses. In this perspective, we present a framework for three categories of increasingly complex climate change risk that focus on interactions among the multiple drivers of risk, as well as among multiple risks. A significant innovation is recognizing that risks can arise both from potential impacts due to climate change and from responses to climate change. This approach encourages thinking that traverses sectoral and regional boundaries and links physical and socio-economic drivers of risk. Advancing climate change risk assessment in these ways is essential for more informed decision making that reduces negative climate change impacts.","author":[{"dropping-particle":"","family":"Simpson","given":"Nicholas P.","non-dropping-particle":"","parse-names":false,"suffix":""},{"dropping-particle":"","family":"Mach","given":"Katharine J.","non-dropping-particle":"","parse-names":false,"suffix":""},{"dropping-particle":"","family":"Constable","given":"Andrew","non-dropping-particle":"","parse-names":false,"suffix":""},{"dropping-particle":"","family":"Hess","given":"Jeremy","non-dropping-particle":"","parse-names":false,"suffix":""},{"dropping-particle":"","family":"Hogarth","given":"Ryan","non-dropping-particle":"","parse-names":false,"suffix":""},{"dropping-particle":"","family":"Howden","given":"Mark","non-dropping-particle":"","parse-names":false,"suffix":""},{"dropping-particle":"","family":"Lawrence","given":"Judy","non-dropping-particle":"","parse-names":false,"suffix":""},{"dropping-particle":"","family":"Lempert","given":"Robert J.","non-dropping-particle":"","parse-names":false,"suffix":""},{"dropping-particle":"","family":"Muccione","given":"Veruska","non-dropping-particle":"","parse-names":false,"suffix":""},{"dropping-particle":"","family":"Mackey","given":"Brendan","non-dropping-particle":"","parse-names":false,"suffix":""},{"dropping-particle":"","family":"New","given":"Mark G.","non-dropping-particle":"","parse-names":false,"suffix":""},{"dropping-particle":"","family":"O'Neill","given":"Brian","non-dropping-particle":"","parse-names":false,"suffix":""},{"dropping-particle":"","family":"Otto","given":"Friederike","non-dropping-particle":"","parse-names":false,"suffix":""},{"dropping-particle":"","family":"Pörtner","given":"Hans O.","non-dropping-particle":"","parse-names":false,"suffix":""},{"dropping-particle":"","family":"Reisinger","given":"Andy","non-dropping-particle":"","parse-names":false,"suffix":""},{"dropping-particle":"","family":"Roberts","given":"Debra","non-dropping-particle":"","parse-names":false,"suffix":""},{"dropping-particle":"","family":"Schmidt","given":"Daniela N.","non-dropping-particle":"","parse-names":false,"suffix":""},{"dropping-particle":"","family":"Seneviratne","given":"Sonia","non-dropping-particle":"","parse-names":false,"suffix":""},{"dropping-particle":"","family":"Strongin","given":"Steven","non-dropping-particle":"","parse-names":false,"suffix":""},{"dropping-particle":"","family":"Aalst","given":"Maarten","non-dropping-particle":"van","parse-names":false,"suffix":""},{"dropping-particle":"","family":"Totin","given":"Edmond","non-dropping-particle":"","parse-names":false,"suffix":""},{"dropping-particle":"","family":"Trisos","given":"Christopher H.","non-dropping-particle":"","parse-names":false,"suffix":""}],"container-title":"One Earth","id":"ITEM-1","issue":"4","issued":{"date-parts":[["2021"]]},"page":"489-501","title":"A framework for complex climate change risk assessment","type":"article","volume":"4"},"uris":["http://www.mendeley.com/documents/?uuid=f04b416a-f879-41c4-b745-a79b5bcdd190"]}],"mendeley":{"formattedCitation":"(Simpson et al., 2021)","plainTextFormattedCitation":"(Simpson et al., 2021)","previouslyFormattedCitation":"(Simpson et al., 2021)"},"properties":{"noteIndex":0},"schema":"https://github.com/citation-style-language/schema/raw/master/csl-citation.json"}</w:instrText>
      </w:r>
      <w:r w:rsidRPr="00F55522">
        <w:rPr>
          <w:szCs w:val="22"/>
          <w:lang w:eastAsia="es-ES"/>
        </w:rPr>
        <w:fldChar w:fldCharType="separate"/>
      </w:r>
      <w:r w:rsidRPr="00F55522">
        <w:rPr>
          <w:noProof/>
          <w:szCs w:val="22"/>
          <w:lang w:eastAsia="es-ES"/>
        </w:rPr>
        <w:t>(Simpson et al., 2021)</w:t>
      </w:r>
      <w:r w:rsidRPr="00F55522">
        <w:rPr>
          <w:szCs w:val="22"/>
          <w:lang w:eastAsia="es-ES"/>
        </w:rPr>
        <w:fldChar w:fldCharType="end"/>
      </w:r>
      <w:r w:rsidRPr="00F55522">
        <w:rPr>
          <w:szCs w:val="22"/>
          <w:lang w:eastAsia="es-ES"/>
        </w:rPr>
        <w:t>. Este estudio muestra de manera muy detallada no s</w:t>
      </w:r>
      <w:r w:rsidR="0013038F">
        <w:rPr>
          <w:szCs w:val="22"/>
          <w:lang w:eastAsia="es-ES"/>
        </w:rPr>
        <w:t>ó</w:t>
      </w:r>
      <w:r w:rsidRPr="00F55522">
        <w:rPr>
          <w:szCs w:val="22"/>
          <w:lang w:eastAsia="es-ES"/>
        </w:rPr>
        <w:t>lo los diferentes factores, sino los diferentes tipos de relaciones entre diversos factores, y describe cómo las respuestas en los riesgos de cierto sector como el socioeconómico, climático o tecnológico, muchas veces desplazan el riesgo hacia otro sector. El estudio además hace una distinción entre riesgos ocasionados por eventos climáticos, y riesgos ocasionados con las respuestas del entorno a los eventos climáticos (riesgos de transición).</w:t>
      </w:r>
    </w:p>
    <w:p w14:paraId="4FF35A41" w14:textId="169CE2FD" w:rsidR="00D524D0" w:rsidRPr="00F55522" w:rsidRDefault="006840A0" w:rsidP="00D06F8C">
      <w:pPr>
        <w:spacing w:line="360" w:lineRule="auto"/>
        <w:jc w:val="both"/>
        <w:rPr>
          <w:szCs w:val="22"/>
          <w:lang w:eastAsia="es-ES"/>
        </w:rPr>
      </w:pPr>
      <w:r>
        <w:rPr>
          <w:szCs w:val="22"/>
          <w:lang w:eastAsia="es-ES"/>
        </w:rPr>
        <w:t xml:space="preserve">Por otra parte, </w:t>
      </w:r>
      <w:r w:rsidR="00D524D0" w:rsidRPr="00F55522">
        <w:rPr>
          <w:szCs w:val="22"/>
          <w:lang w:eastAsia="es-ES"/>
        </w:rPr>
        <w:fldChar w:fldCharType="begin" w:fldLock="1"/>
      </w:r>
      <w:r w:rsidR="00900256">
        <w:rPr>
          <w:szCs w:val="22"/>
          <w:lang w:eastAsia="es-ES"/>
        </w:rPr>
        <w:instrText>ADDIN CSL_CITATION {"citationItems":[{"id":"ITEM-1","itemData":{"URL":"https://www.frontiersin.org/articles/10.3389/fmars.2016.00265/full","author":[{"dropping-particle":"","family":"Luis M. Abadie; Elisa Sainz de Murieta; Ibon Galarraga","given":"","non-dropping-particle":"","parse-names":false,"suffix":""}],"id":"ITEM-1","issued":{"date-parts":[["2016"]]},"title":"Climate Risk Assessment under Uncertainty: An Application to Main European Coastal Cities","type":"webpage"},"uris":["http://www.mendeley.com/documents/?uuid=95ab11ae-e2b8-4253-a6b6-bff77994cdc5"]}],"mendeley":{"formattedCitation":"(Luis M. Abadie; Elisa Sainz de Murieta; Ibon Galarraga, 2016)","manualFormatting":"Abadie. L.M et al (2016)","plainTextFormattedCitation":"(Luis M. Abadie; Elisa Sainz de Murieta; Ibon Galarraga, 2016)","previouslyFormattedCitation":"(Luis M. Abadie; Elisa Sainz de Murieta; Ibon Galarraga, 2016)"},"properties":{"noteIndex":0},"schema":"https://github.com/citation-style-language/schema/raw/master/csl-citation.json"}</w:instrText>
      </w:r>
      <w:r w:rsidR="00D524D0" w:rsidRPr="00F55522">
        <w:rPr>
          <w:szCs w:val="22"/>
          <w:lang w:eastAsia="es-ES"/>
        </w:rPr>
        <w:fldChar w:fldCharType="separate"/>
      </w:r>
      <w:r w:rsidR="00AF6D54">
        <w:rPr>
          <w:noProof/>
          <w:szCs w:val="22"/>
          <w:lang w:eastAsia="es-ES"/>
        </w:rPr>
        <w:t>Abadie. L.M et al</w:t>
      </w:r>
      <w:r w:rsidR="00D524D0" w:rsidRPr="00F55522">
        <w:rPr>
          <w:noProof/>
          <w:szCs w:val="22"/>
          <w:lang w:eastAsia="es-ES"/>
        </w:rPr>
        <w:t xml:space="preserve"> (2016)</w:t>
      </w:r>
      <w:r w:rsidR="00D524D0" w:rsidRPr="00F55522">
        <w:rPr>
          <w:szCs w:val="22"/>
          <w:lang w:eastAsia="es-ES"/>
        </w:rPr>
        <w:fldChar w:fldCharType="end"/>
      </w:r>
      <w:r w:rsidR="00D524D0" w:rsidRPr="00F55522">
        <w:rPr>
          <w:szCs w:val="22"/>
          <w:lang w:eastAsia="es-ES"/>
        </w:rPr>
        <w:t xml:space="preserve"> analizan el riesgo de eventos costeros extremos, a través de un modelo estocástico de difusión. Entre los factores tenidos en cuenta, se prevé el aumento del nivel del mar en su peor escenario, y se calcula el valor en riesgo (</w:t>
      </w:r>
      <w:proofErr w:type="spellStart"/>
      <w:r w:rsidR="00D524D0" w:rsidRPr="00F55522">
        <w:rPr>
          <w:i/>
          <w:iCs/>
          <w:szCs w:val="22"/>
          <w:lang w:eastAsia="es-ES"/>
        </w:rPr>
        <w:t>value</w:t>
      </w:r>
      <w:proofErr w:type="spellEnd"/>
      <w:r w:rsidR="00D524D0" w:rsidRPr="00F55522">
        <w:rPr>
          <w:i/>
          <w:iCs/>
          <w:szCs w:val="22"/>
          <w:lang w:eastAsia="es-ES"/>
        </w:rPr>
        <w:t xml:space="preserve"> at </w:t>
      </w:r>
      <w:proofErr w:type="spellStart"/>
      <w:r w:rsidR="00D524D0" w:rsidRPr="00F55522">
        <w:rPr>
          <w:i/>
          <w:iCs/>
          <w:szCs w:val="22"/>
          <w:lang w:eastAsia="es-ES"/>
        </w:rPr>
        <w:t>risk</w:t>
      </w:r>
      <w:proofErr w:type="spellEnd"/>
      <w:r w:rsidR="00D524D0" w:rsidRPr="00F55522">
        <w:rPr>
          <w:szCs w:val="22"/>
          <w:lang w:eastAsia="es-ES"/>
        </w:rPr>
        <w:t>), para calcular el impacto económico en el peor escenario posible</w:t>
      </w:r>
      <w:r w:rsidR="004A70F6">
        <w:rPr>
          <w:szCs w:val="22"/>
          <w:lang w:eastAsia="es-ES"/>
        </w:rPr>
        <w:t>, tomando en cuenta cierto nivel de confianza y periodo de tiempo</w:t>
      </w:r>
      <w:r w:rsidR="00D524D0" w:rsidRPr="00F55522">
        <w:rPr>
          <w:szCs w:val="22"/>
          <w:lang w:eastAsia="es-ES"/>
        </w:rPr>
        <w:t>.</w:t>
      </w:r>
    </w:p>
    <w:p w14:paraId="45DA3E4A" w14:textId="65963F07" w:rsidR="00D524D0" w:rsidRPr="00F55522" w:rsidRDefault="00D524D0" w:rsidP="00D06F8C">
      <w:pPr>
        <w:spacing w:line="360" w:lineRule="auto"/>
        <w:jc w:val="both"/>
        <w:rPr>
          <w:szCs w:val="22"/>
          <w:lang w:eastAsia="es-ES"/>
        </w:rPr>
      </w:pPr>
      <w:r w:rsidRPr="00F55522">
        <w:rPr>
          <w:szCs w:val="22"/>
          <w:lang w:eastAsia="es-ES"/>
        </w:rPr>
        <w:t xml:space="preserve">En cuanto a la industria energética, que tan relacionada está con el cambio climático, se han logrado algunos avances. Mediante un modelo integrado de redes neuronales con lógica difusa, se resaltaron los principales efectos del cambio climático en relación con las energías sostenibles, brindando una visión holística y completa acerca de los factores relevantes en esta relación </w:t>
      </w:r>
      <w:r w:rsidRPr="00F55522">
        <w:rPr>
          <w:szCs w:val="22"/>
          <w:lang w:eastAsia="es-ES"/>
        </w:rPr>
        <w:fldChar w:fldCharType="begin" w:fldLock="1"/>
      </w:r>
      <w:r w:rsidR="00900256">
        <w:rPr>
          <w:szCs w:val="22"/>
          <w:lang w:eastAsia="es-ES"/>
        </w:rPr>
        <w:instrText>ADDIN CSL_CITATION {"citationItems":[{"id":"ITEM-1","itemData":{"id":"ITEM-1","issued":{"date-parts":[["2010"]]},"page":"11-19","title":"Modeling methodologies of synergic effects related to climate change and sustainable energy management","type":"article-journal","volume":"1"},"uris":["http://www.mendeley.com/documents/?uuid=005f16f1-986f-479d-9f8e-187a0ea7afd3"]}],"mendeley":{"formattedCitation":"(&lt;i&gt;Modeling methodologies of synergic effects related to climate change and sustainable energy management&lt;/i&gt;, 2010)","manualFormatting":"(Csete. M, 2010)","plainTextFormattedCitation":"(Modeling methodologies of synergic effects related to climate change and sustainable energy management, 2010)","previouslyFormattedCitation":"(&lt;i&gt;Modeling methodologies of synergic effects related to climate change and sustainable energy management&lt;/i&gt;, 2010)"},"properties":{"noteIndex":0},"schema":"https://github.com/citation-style-language/schema/raw/master/csl-citation.json"}</w:instrText>
      </w:r>
      <w:r w:rsidRPr="00F55522">
        <w:rPr>
          <w:szCs w:val="22"/>
          <w:lang w:eastAsia="es-ES"/>
        </w:rPr>
        <w:fldChar w:fldCharType="separate"/>
      </w:r>
      <w:r w:rsidRPr="00F55522">
        <w:rPr>
          <w:noProof/>
          <w:szCs w:val="22"/>
          <w:lang w:eastAsia="es-ES"/>
        </w:rPr>
        <w:t>(</w:t>
      </w:r>
      <w:r w:rsidRPr="00AF6D54">
        <w:rPr>
          <w:iCs/>
          <w:noProof/>
          <w:szCs w:val="22"/>
          <w:lang w:eastAsia="es-ES"/>
        </w:rPr>
        <w:t>Csete</w:t>
      </w:r>
      <w:r w:rsidR="00AF6D54">
        <w:rPr>
          <w:iCs/>
          <w:noProof/>
          <w:szCs w:val="22"/>
          <w:lang w:eastAsia="es-ES"/>
        </w:rPr>
        <w:t>. M</w:t>
      </w:r>
      <w:r w:rsidRPr="00F55522">
        <w:rPr>
          <w:noProof/>
          <w:szCs w:val="22"/>
          <w:lang w:eastAsia="es-ES"/>
        </w:rPr>
        <w:t>, 2010)</w:t>
      </w:r>
      <w:r w:rsidRPr="00F55522">
        <w:rPr>
          <w:szCs w:val="22"/>
          <w:lang w:eastAsia="es-ES"/>
        </w:rPr>
        <w:fldChar w:fldCharType="end"/>
      </w:r>
      <w:r w:rsidRPr="00F55522">
        <w:rPr>
          <w:szCs w:val="22"/>
          <w:lang w:eastAsia="es-ES"/>
        </w:rPr>
        <w:t>.</w:t>
      </w:r>
    </w:p>
    <w:p w14:paraId="60946C15" w14:textId="6F4FB036" w:rsidR="00D524D0" w:rsidRPr="00F55522" w:rsidRDefault="00D524D0" w:rsidP="00D06F8C">
      <w:pPr>
        <w:spacing w:line="360" w:lineRule="auto"/>
        <w:jc w:val="both"/>
        <w:rPr>
          <w:szCs w:val="22"/>
          <w:lang w:eastAsia="es-ES"/>
        </w:rPr>
      </w:pPr>
      <w:r w:rsidRPr="00F55522">
        <w:rPr>
          <w:szCs w:val="22"/>
          <w:lang w:eastAsia="es-ES"/>
        </w:rPr>
        <w:t xml:space="preserve">Se han logrado también avances interesantes en la industria bancaria y de crédito. </w:t>
      </w:r>
      <w:r w:rsidRPr="00F55522">
        <w:rPr>
          <w:szCs w:val="22"/>
          <w:lang w:eastAsia="es-ES"/>
        </w:rPr>
        <w:fldChar w:fldCharType="begin" w:fldLock="1"/>
      </w:r>
      <w:r w:rsidR="00900256">
        <w:rPr>
          <w:szCs w:val="22"/>
          <w:lang w:eastAsia="es-ES"/>
        </w:rPr>
        <w:instrText>ADDIN CSL_CITATION {"citationItems":[{"id":"ITEM-1","itemData":{"author":[{"dropping-particle":"","family":"Kölbel","given":"Julian F","non-dropping-particle":"","parse-names":false,"suffix":""},{"dropping-particle":"","family":"Leippold","given":"Markus","non-dropping-particle":"","parse-names":false,"suffix":""},{"dropping-particle":"","family":"Wang","given":"Qian","non-dropping-particle":"","parse-names":false,"suffix":""}],"id":"ITEM-1","issued":{"date-parts":[["0"]]},"title":"Swiss Finance Institute Research Paper Series N ° 21-19","type":"article-journal"},"uris":["http://www.mendeley.com/documents/?uuid=e13aaad5-1898-4824-9010-c4568c10192a"]}],"mendeley":{"formattedCitation":"(Kölbel, Leippold, &amp; Wang, n.d.)","manualFormatting":"Kölbel, Leippold, &amp; Wang (2021)","plainTextFormattedCitation":"(Kölbel, Leippold, &amp; Wang, n.d.)","previouslyFormattedCitation":"(Kölbel, Leippold, &amp; Wang, n.d.)"},"properties":{"noteIndex":0},"schema":"https://github.com/citation-style-language/schema/raw/master/csl-citation.json"}</w:instrText>
      </w:r>
      <w:r w:rsidRPr="00F55522">
        <w:rPr>
          <w:szCs w:val="22"/>
          <w:lang w:eastAsia="es-ES"/>
        </w:rPr>
        <w:fldChar w:fldCharType="separate"/>
      </w:r>
      <w:r w:rsidRPr="00F55522">
        <w:rPr>
          <w:noProof/>
          <w:szCs w:val="22"/>
          <w:lang w:eastAsia="es-ES"/>
        </w:rPr>
        <w:t>Kölbel, Leippold, &amp; Wang (</w:t>
      </w:r>
      <w:r w:rsidR="00AF6D54">
        <w:rPr>
          <w:noProof/>
          <w:szCs w:val="22"/>
          <w:lang w:eastAsia="es-ES"/>
        </w:rPr>
        <w:t>2021</w:t>
      </w:r>
      <w:r w:rsidRPr="00F55522">
        <w:rPr>
          <w:noProof/>
          <w:szCs w:val="22"/>
          <w:lang w:eastAsia="es-ES"/>
        </w:rPr>
        <w:t>)</w:t>
      </w:r>
      <w:r w:rsidRPr="00F55522">
        <w:rPr>
          <w:szCs w:val="22"/>
          <w:lang w:eastAsia="es-ES"/>
        </w:rPr>
        <w:fldChar w:fldCharType="end"/>
      </w:r>
      <w:r w:rsidRPr="00F55522">
        <w:rPr>
          <w:szCs w:val="22"/>
          <w:lang w:eastAsia="es-ES"/>
        </w:rPr>
        <w:t xml:space="preserve"> utilizaron el algoritmo de inteligencia artificial BERT, para identificar y demostrar c</w:t>
      </w:r>
      <w:r w:rsidR="0013038F">
        <w:rPr>
          <w:szCs w:val="22"/>
          <w:lang w:eastAsia="es-ES"/>
        </w:rPr>
        <w:t>ó</w:t>
      </w:r>
      <w:r w:rsidRPr="00F55522">
        <w:rPr>
          <w:szCs w:val="22"/>
          <w:lang w:eastAsia="es-ES"/>
        </w:rPr>
        <w:t>mo las revelaciones y divulgaciones relacionadas con el cambio climático afectan e impactan en el mercado de permutas de incumplimiento crediticio (CDS</w:t>
      </w:r>
      <w:r w:rsidR="00437CFD">
        <w:rPr>
          <w:szCs w:val="22"/>
          <w:lang w:eastAsia="es-ES"/>
        </w:rPr>
        <w:t xml:space="preserve">, </w:t>
      </w:r>
      <w:proofErr w:type="spellStart"/>
      <w:r w:rsidR="00437CFD">
        <w:rPr>
          <w:szCs w:val="22"/>
          <w:lang w:eastAsia="es-ES"/>
        </w:rPr>
        <w:t>credit</w:t>
      </w:r>
      <w:proofErr w:type="spellEnd"/>
      <w:r w:rsidR="00437CFD">
        <w:rPr>
          <w:szCs w:val="22"/>
          <w:lang w:eastAsia="es-ES"/>
        </w:rPr>
        <w:t xml:space="preserve"> default swaps</w:t>
      </w:r>
      <w:r w:rsidRPr="00F55522">
        <w:rPr>
          <w:szCs w:val="22"/>
          <w:lang w:eastAsia="es-ES"/>
        </w:rPr>
        <w:t xml:space="preserve">). </w:t>
      </w:r>
      <w:r w:rsidRPr="00F55522">
        <w:rPr>
          <w:szCs w:val="22"/>
          <w:lang w:eastAsia="es-ES"/>
        </w:rPr>
        <w:lastRenderedPageBreak/>
        <w:t xml:space="preserve">Este </w:t>
      </w:r>
      <w:r w:rsidR="00650EEF">
        <w:rPr>
          <w:szCs w:val="22"/>
          <w:lang w:eastAsia="es-ES"/>
        </w:rPr>
        <w:t>estudio</w:t>
      </w:r>
      <w:r w:rsidRPr="00F55522">
        <w:rPr>
          <w:szCs w:val="22"/>
          <w:lang w:eastAsia="es-ES"/>
        </w:rPr>
        <w:t xml:space="preserve"> es particularmente interesante, puesto que distingue claramente entre los efectos que generan los riesgos climáticos físicos y de transición. Se muestra que los riesgos físicos disminuyen los diferenciales en los CDS mientras que los riesgos de transición generan el efecto contrario.</w:t>
      </w:r>
    </w:p>
    <w:p w14:paraId="39033B3E" w14:textId="61F0610D" w:rsidR="00D524D0" w:rsidRPr="00F55522" w:rsidRDefault="006840A0" w:rsidP="00D06F8C">
      <w:pPr>
        <w:spacing w:line="360" w:lineRule="auto"/>
        <w:jc w:val="both"/>
        <w:rPr>
          <w:szCs w:val="22"/>
          <w:lang w:eastAsia="es-ES"/>
        </w:rPr>
      </w:pPr>
      <w:r>
        <w:rPr>
          <w:szCs w:val="22"/>
          <w:lang w:eastAsia="es-ES"/>
        </w:rPr>
        <w:t xml:space="preserve">De igual forma, </w:t>
      </w:r>
      <w:r w:rsidR="00D524D0" w:rsidRPr="00F55522">
        <w:rPr>
          <w:szCs w:val="22"/>
          <w:lang w:eastAsia="es-ES"/>
        </w:rPr>
        <w:fldChar w:fldCharType="begin" w:fldLock="1"/>
      </w:r>
      <w:r w:rsidR="00D524D0" w:rsidRPr="00F55522">
        <w:rPr>
          <w:szCs w:val="22"/>
          <w:lang w:eastAsia="es-ES"/>
        </w:rPr>
        <w:instrText>ADDIN CSL_CITATION {"citationItems":[{"id":"ITEM-1","itemData":{"DOI":"10.1016/j.jclepro.2014.09.086","ISSN":"0959-6526","author":[{"dropping-particle":"","family":"Nikolaou","given":"I","non-dropping-particle":"","parse-names":false,"suffix":""},{"dropping-particle":"","family":"Evangelinos","given":"K","non-dropping-particle":"","parse-names":false,"suffix":""},{"dropping-particle":"","family":"Filho","given":"W Leal","non-dropping-particle":"","parse-names":false,"suffix":""}],"container-title":"Journal of Cleaner Production","id":"ITEM-1","issued":{"date-parts":[["2015"]]},"page":"499-506","publisher":"Elsevier Ltd","title":"A system dynamic approach for exploring the effects of climate change risks on fi rms ' economic performance","type":"article-journal","volume":"103"},"uris":["http://www.mendeley.com/documents/?uuid=bfc2a57f-cc27-4a78-9268-88458a33f7a4"]}],"mendeley":{"formattedCitation":"(Nikolaou, Evangelinos, &amp; Filho, 2015)","manualFormatting":"Nikolaou, Evangelinos, &amp; Filho (2015)","plainTextFormattedCitation":"(Nikolaou, Evangelinos, &amp; Filho, 2015)","previouslyFormattedCitation":"(Nikolaou, Evangelinos, &amp; Filho, 2015)"},"properties":{"noteIndex":0},"schema":"https://github.com/citation-style-language/schema/raw/master/csl-citation.json"}</w:instrText>
      </w:r>
      <w:r w:rsidR="00D524D0" w:rsidRPr="00F55522">
        <w:rPr>
          <w:szCs w:val="22"/>
          <w:lang w:eastAsia="es-ES"/>
        </w:rPr>
        <w:fldChar w:fldCharType="separate"/>
      </w:r>
      <w:r w:rsidR="00D524D0" w:rsidRPr="00F55522">
        <w:rPr>
          <w:noProof/>
          <w:szCs w:val="22"/>
          <w:lang w:eastAsia="es-ES"/>
        </w:rPr>
        <w:t>Nikolaou, Evangelinos, &amp; Filho (2015)</w:t>
      </w:r>
      <w:r w:rsidR="00D524D0" w:rsidRPr="00F55522">
        <w:rPr>
          <w:szCs w:val="22"/>
          <w:lang w:eastAsia="es-ES"/>
        </w:rPr>
        <w:fldChar w:fldCharType="end"/>
      </w:r>
      <w:r w:rsidR="00D524D0" w:rsidRPr="00F55522">
        <w:rPr>
          <w:szCs w:val="22"/>
          <w:lang w:eastAsia="es-ES"/>
        </w:rPr>
        <w:t xml:space="preserve"> presentan un modelo alternativo para la identificación y gestión de riesgos, distinto al original basado en recopilación y procesamiento estadístico de datos climáticos. Mediante del software Stella, presentan un modelo integrado dinámico, que permite distinguir entre diversos tipos de riesgo como los físicos, de transición, y hasta riesgos reputacionales, con el fin de investigar la relación entre el cambio climático, los resultados financieros, y los procesos del día a día en las organizaciones.</w:t>
      </w:r>
    </w:p>
    <w:p w14:paraId="4C049CA7" w14:textId="75576EFA" w:rsidR="00D524D0" w:rsidRPr="00F55522" w:rsidRDefault="00107A93" w:rsidP="00D06F8C">
      <w:pPr>
        <w:spacing w:line="360" w:lineRule="auto"/>
        <w:jc w:val="both"/>
        <w:rPr>
          <w:szCs w:val="22"/>
          <w:lang w:eastAsia="es-ES"/>
        </w:rPr>
      </w:pPr>
      <w:r>
        <w:rPr>
          <w:szCs w:val="22"/>
          <w:lang w:eastAsia="es-ES"/>
        </w:rPr>
        <w:t>En o</w:t>
      </w:r>
      <w:r w:rsidR="00D524D0" w:rsidRPr="00F55522">
        <w:rPr>
          <w:szCs w:val="22"/>
          <w:lang w:eastAsia="es-ES"/>
        </w:rPr>
        <w:t xml:space="preserve">tro reciente estudio, </w:t>
      </w:r>
      <w:r>
        <w:rPr>
          <w:szCs w:val="22"/>
          <w:lang w:eastAsia="es-ES"/>
        </w:rPr>
        <w:t xml:space="preserve">se </w:t>
      </w:r>
      <w:r w:rsidR="00D524D0" w:rsidRPr="00F55522">
        <w:rPr>
          <w:szCs w:val="22"/>
          <w:lang w:eastAsia="es-ES"/>
        </w:rPr>
        <w:t xml:space="preserve">realizó un trabajo investigativo en el cual </w:t>
      </w:r>
      <w:r>
        <w:rPr>
          <w:szCs w:val="22"/>
          <w:lang w:eastAsia="es-ES"/>
        </w:rPr>
        <w:t xml:space="preserve">se </w:t>
      </w:r>
      <w:r w:rsidR="00D524D0" w:rsidRPr="00F55522">
        <w:rPr>
          <w:szCs w:val="22"/>
          <w:lang w:eastAsia="es-ES"/>
        </w:rPr>
        <w:t xml:space="preserve">descubrió que cada vez con más frecuencia se hace uso de algoritmos de inteligencia artificial para gestionar el riesgo climático </w:t>
      </w:r>
      <w:r w:rsidR="00D524D0" w:rsidRPr="00F55522">
        <w:rPr>
          <w:szCs w:val="22"/>
          <w:lang w:eastAsia="es-ES"/>
        </w:rPr>
        <w:fldChar w:fldCharType="begin" w:fldLock="1"/>
      </w:r>
      <w:r w:rsidR="008774A4">
        <w:rPr>
          <w:szCs w:val="22"/>
          <w:lang w:eastAsia="es-ES"/>
        </w:rPr>
        <w:instrText>ADDIN CSL_CITATION {"citationItems":[{"id":"ITEM-1","itemData":{"DOI":"10.1016/j.earscirev.2021.103752","ISSN":"00128252","abstract":"Global warming is exacerbating weather, and climate extremes events and is projected to aggravate multi-sectorial risks. A multiplicity of climate hazards will be involved, triggering cumulative and interactive impacts on a variety of natural and human systems. An improved understanding of risk interactions and dynamics is required to support decision makers in their ability to better manage current and future climate change risks. To face this issue, the research community has been starting to test new methodological approaches and tools, including the application of Machine Learning (ML) leveraging the potential of the large availability and variety of spatio-temporal big data for environmental applications. Given the increasing attention on the application of ML methods to Climate Change Risk Assessment (CCRA), this review mapped out the state of art and potential of these methods to this field of research. Scientometric and systematic analysis were jointly applied providing an in-depth review of publications across the 2000–2020 timeframe. The resulting output from the analysis showed that a huge variety of ML algorithms have been already applied within CCRA, among them, the most recurrent are Decision Tree, Random Forest, and Artificial Neural Network. These algorithms are often applied in an ensemble or hybridized way to analyze most of all floods and landslides risk events. Moreover, the application of ML to deal with remote sensing data is consistent and effective across reviewed CCRA applications, allowing the identification and classification of targets and the detection of environmental and structural features. On the contrary concerning future climate change scenarios, literature seems not to be very widespread into scientific production, compared to studies evaluating risks under current conditions. The same lack can be noted also for the assessment of cascading and compound hazards and risks, since these concepts are recently emerging in CCRA literature but not yet in combination with ML-based applications.","author":[{"dropping-particle":"","family":"Zennaro","given":"Federica","non-dropping-particle":"","parse-names":false,"suffix":""},{"dropping-particle":"","family":"Furlan","given":"Elisa","non-dropping-particle":"","parse-names":false,"suffix":""},{"dropping-particle":"","family":"Simeoni","given":"Christian","non-dropping-particle":"","parse-names":false,"suffix":""},{"dropping-particle":"","family":"Torresan","given":"Silvia","non-dropping-particle":"","parse-names":false,"suffix":""},{"dropping-particle":"","family":"Aslan","given":"Sinem","non-dropping-particle":"","parse-names":false,"suffix":""},{"dropping-particle":"","family":"Critto","given":"Andrea","non-dropping-particle":"","parse-names":false,"suffix":""},{"dropping-particle":"","family":"Marcomini","given":"Antonio","non-dropping-particle":"","parse-names":false,"suffix":""}],"container-title":"Earth-Science Reviews","id":"ITEM-1","issued":{"date-parts":[["2021"]]},"title":"Exploring machine learning potential for climate change risk assessment","type":"article","volume":"220"},"uris":["http://www.mendeley.com/documents/?uuid=702a9b44-e285-4577-8363-523645f5e800"]}],"mendeley":{"formattedCitation":"(Zennaro et al., 2021)","manualFormatting":"(Zennaro et al. 2021)","plainTextFormattedCitation":"(Zennaro et al., 2021)","previouslyFormattedCitation":"(Zennaro et al., 2021)"},"properties":{"noteIndex":0},"schema":"https://github.com/citation-style-language/schema/raw/master/csl-citation.json"}</w:instrText>
      </w:r>
      <w:r w:rsidR="00D524D0" w:rsidRPr="00F55522">
        <w:rPr>
          <w:szCs w:val="22"/>
          <w:lang w:eastAsia="es-ES"/>
        </w:rPr>
        <w:fldChar w:fldCharType="separate"/>
      </w:r>
      <w:r w:rsidR="00D524D0" w:rsidRPr="00F55522">
        <w:rPr>
          <w:noProof/>
          <w:szCs w:val="22"/>
          <w:lang w:eastAsia="es-ES"/>
        </w:rPr>
        <w:t>(Zennaro et al. 2021)</w:t>
      </w:r>
      <w:r w:rsidR="00D524D0" w:rsidRPr="00F55522">
        <w:rPr>
          <w:szCs w:val="22"/>
          <w:lang w:eastAsia="es-ES"/>
        </w:rPr>
        <w:fldChar w:fldCharType="end"/>
      </w:r>
      <w:r w:rsidR="00D524D0" w:rsidRPr="00F55522">
        <w:rPr>
          <w:szCs w:val="22"/>
          <w:lang w:eastAsia="es-ES"/>
        </w:rPr>
        <w:t>. Se encontró que entre los algoritmos más utilizados para este propósito están los árboles de decisión, los bosques aleatorios, y las redes neuronales artificiales.</w:t>
      </w:r>
    </w:p>
    <w:p w14:paraId="67FA986B" w14:textId="69E9F9D8" w:rsidR="00D524D0" w:rsidRPr="00F55522" w:rsidRDefault="00D524D0" w:rsidP="00D06F8C">
      <w:pPr>
        <w:spacing w:line="360" w:lineRule="auto"/>
        <w:jc w:val="both"/>
        <w:rPr>
          <w:szCs w:val="22"/>
          <w:lang w:eastAsia="es-ES"/>
        </w:rPr>
      </w:pPr>
      <w:r w:rsidRPr="00F55522">
        <w:rPr>
          <w:szCs w:val="22"/>
          <w:lang w:eastAsia="es-ES"/>
        </w:rPr>
        <w:t xml:space="preserve">Existe también información e investigación acerca del uso de algoritmos de inteligencia artificial para calcular la huella de carbono de una corporación, con el propósito de ayudar a las empresas a ser más consientes, y tomar medidas preventivas sobre los procesos que organizacionales que mayor daño climático generan </w:t>
      </w:r>
      <w:r w:rsidRPr="00F55522">
        <w:rPr>
          <w:szCs w:val="22"/>
          <w:lang w:eastAsia="es-ES"/>
        </w:rPr>
        <w:fldChar w:fldCharType="begin" w:fldLock="1"/>
      </w:r>
      <w:r w:rsidRPr="00F55522">
        <w:rPr>
          <w:szCs w:val="22"/>
          <w:lang w:eastAsia="es-ES"/>
        </w:rPr>
        <w:instrText>ADDIN CSL_CITATION {"citationItems":[{"id":"ITEM-1","itemData":{"DOI":"10.1016/j.eneco.2021.105129","ISSN":"01409883","abstract":"Corporations have come under pressure from investors and other stakeholders to disclose and reduce their greenhouse gas emissions (GHG). Corporate GHG footprints, proxying for transition risk, are dominated by carbon emissions from energy use. Thus the growing attention on the carbon emissions of corporations from, principally, their energy use, motivates firms to invest in energy efficiency and renewable energy. However, only a subset of corporations disclose their GHG/carbon footprints. This paper uses machine learning to improve the prediction of corporate carbon emissions for risk analyses by investors. We introduce a two-step framework that applies a Meta-Elastic Net learner to combine predictions from multiple base-learners as the best emission prediction approach. It results in an accuracy gain based on mean absolute error of up to 30% as compared with the existing models. We also find that prediction accuracy can be further improved by incorporating additional predictors (energy production/consumption data) and additional firm disclosures in particular sectors and regions. This provides an indication of where policymakers should concentrate their efforts for greater level of disclosure.","author":[{"dropping-particle":"","family":"Nguyen","given":"Quyen","non-dropping-particle":"","parse-names":false,"suffix":""},{"dropping-particle":"","family":"Diaz-Rainey","given":"Ivan","non-dropping-particle":"","parse-names":false,"suffix":""},{"dropping-particle":"","family":"Kuruppuarachchi","given":"Duminda","non-dropping-particle":"","parse-names":false,"suffix":""}],"container-title":"Energy Economics","id":"ITEM-1","issued":{"date-parts":[["2021"]]},"page":"105129","publisher":"Elsevier B.V.","title":"Predicting corporate carbon footprints for climate finance risk analyses: A machine learning approach","type":"article-journal","volume":"95"},"uris":["http://www.mendeley.com/documents/?uuid=ce3db815-bb8a-4060-bdb9-ae764b8c380c"]}],"mendeley":{"formattedCitation":"(Nguyen, Diaz-Rainey, &amp; Kuruppuarachchi, 2021)","plainTextFormattedCitation":"(Nguyen, Diaz-Rainey, &amp; Kuruppuarachchi, 2021)","previouslyFormattedCitation":"(Nguyen, Diaz-Rainey, &amp; Kuruppuarachchi, 2021)"},"properties":{"noteIndex":0},"schema":"https://github.com/citation-style-language/schema/raw/master/csl-citation.json"}</w:instrText>
      </w:r>
      <w:r w:rsidRPr="00F55522">
        <w:rPr>
          <w:szCs w:val="22"/>
          <w:lang w:eastAsia="es-ES"/>
        </w:rPr>
        <w:fldChar w:fldCharType="separate"/>
      </w:r>
      <w:r w:rsidRPr="00F55522">
        <w:rPr>
          <w:noProof/>
          <w:szCs w:val="22"/>
          <w:lang w:eastAsia="es-ES"/>
        </w:rPr>
        <w:t>(Nguyen, Diaz-Rainey, &amp; Kuruppuarachchi, 2021)</w:t>
      </w:r>
      <w:r w:rsidRPr="00F55522">
        <w:rPr>
          <w:szCs w:val="22"/>
          <w:lang w:eastAsia="es-ES"/>
        </w:rPr>
        <w:fldChar w:fldCharType="end"/>
      </w:r>
      <w:r w:rsidRPr="00F55522">
        <w:rPr>
          <w:szCs w:val="22"/>
          <w:lang w:eastAsia="es-ES"/>
        </w:rPr>
        <w:t>.</w:t>
      </w:r>
    </w:p>
    <w:p w14:paraId="13B63457" w14:textId="374A6586" w:rsidR="00D524D0" w:rsidRPr="00F55522" w:rsidRDefault="00D524D0" w:rsidP="00D06F8C">
      <w:pPr>
        <w:spacing w:line="360" w:lineRule="auto"/>
        <w:jc w:val="both"/>
        <w:rPr>
          <w:szCs w:val="22"/>
          <w:lang w:eastAsia="es-ES"/>
        </w:rPr>
      </w:pPr>
      <w:r w:rsidRPr="00F55522">
        <w:rPr>
          <w:szCs w:val="22"/>
          <w:lang w:eastAsia="es-ES"/>
        </w:rPr>
        <w:t>Con respecto a la elaboración de matrices de riesgo</w:t>
      </w:r>
      <w:r w:rsidR="00AF6D54">
        <w:rPr>
          <w:szCs w:val="22"/>
          <w:lang w:eastAsia="es-ES"/>
        </w:rPr>
        <w:t>s climáticos en el sector empresarial</w:t>
      </w:r>
      <w:r w:rsidRPr="00F55522">
        <w:rPr>
          <w:szCs w:val="22"/>
          <w:lang w:eastAsia="es-ES"/>
        </w:rPr>
        <w:t xml:space="preserve">, existen algunos ejemplos en la literatura, como por ejemplo el caso de </w:t>
      </w:r>
      <w:r w:rsidRPr="00F55522">
        <w:rPr>
          <w:szCs w:val="22"/>
          <w:lang w:eastAsia="es-ES"/>
        </w:rPr>
        <w:fldChar w:fldCharType="begin" w:fldLock="1"/>
      </w:r>
      <w:r w:rsidR="00837846">
        <w:rPr>
          <w:szCs w:val="22"/>
          <w:lang w:eastAsia="es-ES"/>
        </w:rPr>
        <w:instrText>ADDIN CSL_CITATION {"citationItems":[{"id":"ITEM-1","itemData":{"ISBN":"9788490225370","author":[{"dropping-particle":"","family":"Argos","given":"","non-dropping-particle":"","parse-names":false,"suffix":""}],"id":"ITEM-1","issued":{"date-parts":[["2021"]]},"title":"climate change risks and opportunities based on TCFD recommendations","type":"article-journal"},"uris":["http://www.mendeley.com/documents/?uuid=0697886f-5ba5-43dc-8b90-27f6372df6a2"]}],"mendeley":{"formattedCitation":"(Argos, 2021)","manualFormatting":"Argos (2021)","plainTextFormattedCitation":"(Argos, 2021)","previouslyFormattedCitation":"(Argos, 2021)"},"properties":{"noteIndex":0},"schema":"https://github.com/citation-style-language/schema/raw/master/csl-citation.json"}</w:instrText>
      </w:r>
      <w:r w:rsidRPr="00F55522">
        <w:rPr>
          <w:szCs w:val="22"/>
          <w:lang w:eastAsia="es-ES"/>
        </w:rPr>
        <w:fldChar w:fldCharType="separate"/>
      </w:r>
      <w:r w:rsidRPr="00F55522">
        <w:rPr>
          <w:noProof/>
          <w:szCs w:val="22"/>
          <w:lang w:eastAsia="es-ES"/>
        </w:rPr>
        <w:t>Argos (</w:t>
      </w:r>
      <w:r w:rsidR="00445317">
        <w:rPr>
          <w:noProof/>
          <w:szCs w:val="22"/>
          <w:lang w:eastAsia="es-ES"/>
        </w:rPr>
        <w:t>2021</w:t>
      </w:r>
      <w:r w:rsidRPr="00F55522">
        <w:rPr>
          <w:noProof/>
          <w:szCs w:val="22"/>
          <w:lang w:eastAsia="es-ES"/>
        </w:rPr>
        <w:t>)</w:t>
      </w:r>
      <w:r w:rsidRPr="00F55522">
        <w:rPr>
          <w:szCs w:val="22"/>
          <w:lang w:eastAsia="es-ES"/>
        </w:rPr>
        <w:fldChar w:fldCharType="end"/>
      </w:r>
      <w:r w:rsidRPr="00F55522">
        <w:rPr>
          <w:szCs w:val="22"/>
          <w:lang w:eastAsia="es-ES"/>
        </w:rPr>
        <w:t xml:space="preserve">, que mediante </w:t>
      </w:r>
      <w:r w:rsidR="00AF6D54">
        <w:rPr>
          <w:szCs w:val="22"/>
          <w:lang w:eastAsia="es-ES"/>
        </w:rPr>
        <w:t>un esquema de gestión de riesgo</w:t>
      </w:r>
      <w:r w:rsidRPr="00F55522">
        <w:rPr>
          <w:szCs w:val="22"/>
          <w:lang w:eastAsia="es-ES"/>
        </w:rPr>
        <w:t>, lograron clasificar diversos tipos de riesgos climáticos, y subdividieron los riesgos de transición y físicos según su impacto en la empresa. De esta manera, encontraron 7 riesgos asociados al sector de la empresa, y lograron clasificarlos en una matriz de riesgos, con lo cual, la gestión puede seguir un procedimiento más estandarizado.</w:t>
      </w:r>
    </w:p>
    <w:p w14:paraId="50029D8F" w14:textId="77777777" w:rsidR="00D524D0" w:rsidRPr="00F55522" w:rsidRDefault="00D524D0" w:rsidP="00D06F8C">
      <w:pPr>
        <w:spacing w:line="360" w:lineRule="auto"/>
        <w:jc w:val="both"/>
        <w:rPr>
          <w:szCs w:val="22"/>
          <w:lang w:eastAsia="es-ES"/>
        </w:rPr>
      </w:pPr>
      <w:r w:rsidRPr="00F55522">
        <w:rPr>
          <w:szCs w:val="22"/>
          <w:lang w:eastAsia="es-ES"/>
        </w:rPr>
        <w:t xml:space="preserve">El sector de la construcción es uno en el cual tiene también gran cabida el uso de matrices de riesgo. Se ha utilizado la lógica difusa para clasificar 40 diversos factores que incrementan el </w:t>
      </w:r>
      <w:r w:rsidRPr="00F55522">
        <w:rPr>
          <w:szCs w:val="22"/>
          <w:lang w:eastAsia="es-ES"/>
        </w:rPr>
        <w:lastRenderedPageBreak/>
        <w:t xml:space="preserve">sobrecosto en las obras de construcción. Luego mediante lógica difusa, se procede a clasificar dichos riesgos según su impacto </w:t>
      </w:r>
      <w:r w:rsidRPr="00F55522">
        <w:rPr>
          <w:szCs w:val="22"/>
          <w:lang w:eastAsia="es-ES"/>
        </w:rPr>
        <w:fldChar w:fldCharType="begin" w:fldLock="1"/>
      </w:r>
      <w:r w:rsidRPr="00F55522">
        <w:rPr>
          <w:szCs w:val="22"/>
          <w:lang w:eastAsia="es-ES"/>
        </w:rPr>
        <w:instrText>ADDIN CSL_CITATION {"citationItems":[{"id":"ITEM-1","itemData":{"DOI":"10.1016/j.matpr.2021.12.415","ISSN":"22147853","abstract":"Many construction projects are undergoing losses due to various reasons. Hence study of cost overrun place a crucial role to minimise these losses in future projects. This paper aims to analyse 40 most important cost overrun factors of Indian construction industry which are identified through literature review. A fuzzy logic model is developed in MATLAB according to the Indian construction scenario considering two input parameters severity index (SI), Probability Index (PI) and one output parameter Fuzzy Index of Cost overrun (FIC) as it is capable of handling complex situations. A questionnaire survey is conducted to collect the data of 40 cost overrun factors which is further incorporated to developed fuzzy logic model to obtain their respective risk magnitudes. In this paper, a case study is carried out on Hyderabad Metro Rail project. The top five factors causing cost overrun in the Hyderabad Metro Rail project are identified as Land acquisition problem, Social and Cultural, Financial difficulty faced by contractor, Fluctuations in material's from the present research work.","author":[{"dropping-particle":"","family":"Alekhya","given":"G.B.S.","non-dropping-particle":"","parse-names":false,"suffix":""},{"dropping-particle":"","family":"Shashikanth","given":"K.","non-dropping-particle":"","parse-names":false,"suffix":""},{"dropping-particle":"","family":"Prasad","given":"M. Anjaneya","non-dropping-particle":"","parse-names":false,"suffix":""}],"container-title":"Materials Today: Proceedings","id":"ITEM-1","issue":"xxxx","issued":{"date-parts":[["2022"]]},"publisher":"Elsevier Ltd","title":"Risk assessment of cost overrun using fuzzy logic model","type":"article-journal"},"uris":["http://www.mendeley.com/documents/?uuid=eaa0bdbd-04c0-4f50-92b3-efcdf01db2c4"]}],"mendeley":{"formattedCitation":"(Alekhya, Shashikanth, &amp; Prasad, 2022)","plainTextFormattedCitation":"(Alekhya, Shashikanth, &amp; Prasad, 2022)","previouslyFormattedCitation":"(Alekhya, Shashikanth, &amp; Prasad, 2022)"},"properties":{"noteIndex":0},"schema":"https://github.com/citation-style-language/schema/raw/master/csl-citation.json"}</w:instrText>
      </w:r>
      <w:r w:rsidRPr="00F55522">
        <w:rPr>
          <w:szCs w:val="22"/>
          <w:lang w:eastAsia="es-ES"/>
        </w:rPr>
        <w:fldChar w:fldCharType="separate"/>
      </w:r>
      <w:r w:rsidRPr="00F55522">
        <w:rPr>
          <w:noProof/>
          <w:szCs w:val="22"/>
          <w:lang w:eastAsia="es-ES"/>
        </w:rPr>
        <w:t>(Alekhya, Shashikanth, &amp; Prasad, 2022)</w:t>
      </w:r>
      <w:r w:rsidRPr="00F55522">
        <w:rPr>
          <w:szCs w:val="22"/>
          <w:lang w:eastAsia="es-ES"/>
        </w:rPr>
        <w:fldChar w:fldCharType="end"/>
      </w:r>
    </w:p>
    <w:p w14:paraId="0F635A62" w14:textId="04E65500" w:rsidR="00D524D0" w:rsidRDefault="00D524D0" w:rsidP="00D06F8C">
      <w:pPr>
        <w:spacing w:line="360" w:lineRule="auto"/>
        <w:jc w:val="both"/>
        <w:rPr>
          <w:szCs w:val="22"/>
          <w:lang w:eastAsia="es-ES"/>
        </w:rPr>
      </w:pPr>
      <w:r w:rsidRPr="00F55522">
        <w:rPr>
          <w:szCs w:val="22"/>
          <w:lang w:eastAsia="es-ES"/>
        </w:rPr>
        <w:t>Se han elaborado también algunas matrices de riesgo</w:t>
      </w:r>
      <w:r w:rsidR="00243E39">
        <w:rPr>
          <w:szCs w:val="22"/>
          <w:lang w:eastAsia="es-ES"/>
        </w:rPr>
        <w:t xml:space="preserve"> usando lógica difusa</w:t>
      </w:r>
      <w:r w:rsidRPr="00F55522">
        <w:rPr>
          <w:szCs w:val="22"/>
          <w:lang w:eastAsia="es-ES"/>
        </w:rPr>
        <w:t xml:space="preserve"> en el sector manufacturero, teniendo en cuenta un alcance más amplio, considerando riesgos de diversos tipos, no s</w:t>
      </w:r>
      <w:r w:rsidR="0013038F">
        <w:rPr>
          <w:szCs w:val="22"/>
          <w:lang w:eastAsia="es-ES"/>
        </w:rPr>
        <w:t>ó</w:t>
      </w:r>
      <w:r w:rsidRPr="00F55522">
        <w:rPr>
          <w:szCs w:val="22"/>
          <w:lang w:eastAsia="es-ES"/>
        </w:rPr>
        <w:t xml:space="preserve">lo climáticos, que se pueden clasificar según su frecuencia y severidad, dentro de una matriz de riesgos. El resultado es la optimización en los procesos de gestión de riesgos, y una retroalimentación más efectiva de información, que puede ser utilizada por los expertos para mejorar los procesos </w:t>
      </w:r>
      <w:r w:rsidRPr="00F55522">
        <w:rPr>
          <w:szCs w:val="22"/>
          <w:lang w:eastAsia="es-ES"/>
        </w:rPr>
        <w:fldChar w:fldCharType="begin" w:fldLock="1"/>
      </w:r>
      <w:r w:rsidRPr="00F55522">
        <w:rPr>
          <w:szCs w:val="22"/>
          <w:lang w:eastAsia="es-ES"/>
        </w:rPr>
        <w:instrText>ADDIN CSL_CITATION {"citationItems":[{"id":"ITEM-1","itemData":{"DOI":"10.1016/j.proeng.2017.03.163","ISSN":"18777058","abstract":"Unexpected failures, the loss of production, and higher maintenance costs are major problems of manufacturing systems. Hence, certain investigating methods, such as Risk-based maintenance (RBM), help to deal with such issues. An important element of the RBM planning is to assess the consequences of action and prioritization of maintenance tasks based on the risk of potential failures. The main purpose of this classification is the right choice for maintenance strategy, maintenance intervals, and a certain level of spare parts in the storage. This manuscript illustrates the use of fuzzy logic for the minimization of suboptimal classifications, and it suggests a fuzzy inference system (FIS) for overcoming the challenge mentioned above. Membership functions and the rule base are developed. It is possible to integrate the suggested approach to currently existing computer-aided maintenance management system (CMMS) in a manufacturing firm (MF).","author":[{"dropping-particle":"","family":"Ratnayake","given":"R. M.Chandima","non-dropping-particle":"","parse-names":false,"suffix":""},{"dropping-particle":"","family":"Antosz","given":"Katarzyna","non-dropping-particle":"","parse-names":false,"suffix":""}],"container-title":"Procedia Engineering","id":"ITEM-1","issue":"1877","issued":{"date-parts":[["2017"]]},"page":"602-610","publisher":"The Author(s)","title":"Development of a Risk Matrix and Extending the Risk-based Maintenance Analysis with Fuzzy Logic","type":"article-journal","volume":"182"},"uris":["http://www.mendeley.com/documents/?uuid=c54d2198-be09-4953-b0eb-2b3438efeec1"]}],"mendeley":{"formattedCitation":"(Ratnayake &amp; Antosz, 2017)","plainTextFormattedCitation":"(Ratnayake &amp; Antosz, 2017)","previouslyFormattedCitation":"(Ratnayake &amp; Antosz, 2017)"},"properties":{"noteIndex":0},"schema":"https://github.com/citation-style-language/schema/raw/master/csl-citation.json"}</w:instrText>
      </w:r>
      <w:r w:rsidRPr="00F55522">
        <w:rPr>
          <w:szCs w:val="22"/>
          <w:lang w:eastAsia="es-ES"/>
        </w:rPr>
        <w:fldChar w:fldCharType="separate"/>
      </w:r>
      <w:r w:rsidRPr="00F55522">
        <w:rPr>
          <w:noProof/>
          <w:szCs w:val="22"/>
          <w:lang w:eastAsia="es-ES"/>
        </w:rPr>
        <w:t>(Ratnayake &amp; Antosz, 2017)</w:t>
      </w:r>
      <w:r w:rsidRPr="00F55522">
        <w:rPr>
          <w:szCs w:val="22"/>
          <w:lang w:eastAsia="es-ES"/>
        </w:rPr>
        <w:fldChar w:fldCharType="end"/>
      </w:r>
      <w:r w:rsidRPr="00F55522">
        <w:rPr>
          <w:szCs w:val="22"/>
          <w:lang w:eastAsia="es-ES"/>
        </w:rPr>
        <w:t>.</w:t>
      </w:r>
    </w:p>
    <w:p w14:paraId="030B5C58" w14:textId="68169365" w:rsidR="00D524D0" w:rsidRDefault="00D524D0" w:rsidP="00A056C1">
      <w:pPr>
        <w:pStyle w:val="Ttulo3"/>
        <w:jc w:val="both"/>
      </w:pPr>
      <w:bookmarkStart w:id="18" w:name="_Toc149994746"/>
      <w:r>
        <w:t>Marco Teórico</w:t>
      </w:r>
      <w:bookmarkEnd w:id="18"/>
    </w:p>
    <w:p w14:paraId="6276674F" w14:textId="77777777" w:rsidR="00D524D0" w:rsidRPr="00F55522" w:rsidRDefault="00D524D0" w:rsidP="00A056C1">
      <w:pPr>
        <w:pStyle w:val="Ttulo4"/>
        <w:jc w:val="both"/>
      </w:pPr>
      <w:r w:rsidRPr="00F55522">
        <w:t>Riesgos climáticos y riesgos climáticos de transición</w:t>
      </w:r>
    </w:p>
    <w:p w14:paraId="73662BA5" w14:textId="30C7A4B1" w:rsidR="00D524D0" w:rsidRPr="00F55522" w:rsidRDefault="00D524D0" w:rsidP="00A056C1">
      <w:pPr>
        <w:spacing w:line="360" w:lineRule="auto"/>
        <w:jc w:val="both"/>
        <w:rPr>
          <w:szCs w:val="22"/>
          <w:lang w:eastAsia="es-ES"/>
        </w:rPr>
      </w:pPr>
      <w:r w:rsidRPr="00F55522">
        <w:rPr>
          <w:szCs w:val="22"/>
          <w:lang w:eastAsia="es-ES"/>
        </w:rPr>
        <w:t xml:space="preserve">En 2015, luego de años de preparación e investigación, 195 países se comprometieron a regular la evolución del cambio climático a partir de 2020, a través de un acuerdo en la COP21 </w:t>
      </w:r>
      <w:r w:rsidRPr="00F55522">
        <w:rPr>
          <w:szCs w:val="22"/>
          <w:lang w:eastAsia="es-ES"/>
        </w:rPr>
        <w:fldChar w:fldCharType="begin" w:fldLock="1"/>
      </w:r>
      <w:r w:rsidRPr="00F55522">
        <w:rPr>
          <w:szCs w:val="22"/>
          <w:lang w:eastAsia="es-ES"/>
        </w:rPr>
        <w:instrText>ADDIN CSL_CITATION {"citationItems":[{"id":"ITEM-1","itemData":{"author":[{"dropping-particle":"","family":"Cappo","given":"Alessandro","non-dropping-particle":"","parse-names":false,"suffix":""},{"dropping-particle":"","family":"Mironenkova","given":"Ekaterina","non-dropping-particle":"","parse-names":false,"suffix":""}],"container-title":"Research Paper Series","id":"ITEM-1","issue":"29","issued":{"date-parts":[["2020"]]},"page":"33","title":"Climate Change Risk: Overview of the Current Landscape and Next Steps for Financial Institution","type":"article-journal"},"uris":["http://www.mendeley.com/documents/?uuid=b9b675b7-60aa-435f-ae2d-4d9e162ab727"]}],"mendeley":{"formattedCitation":"(Cappo &amp; Mironenkova, 2020)","plainTextFormattedCitation":"(Cappo &amp; Mironenkova, 2020)","previouslyFormattedCitation":"(Cappo &amp; Mironenkova, 2020)"},"properties":{"noteIndex":0},"schema":"https://github.com/citation-style-language/schema/raw/master/csl-citation.json"}</w:instrText>
      </w:r>
      <w:r w:rsidRPr="00F55522">
        <w:rPr>
          <w:szCs w:val="22"/>
          <w:lang w:eastAsia="es-ES"/>
        </w:rPr>
        <w:fldChar w:fldCharType="separate"/>
      </w:r>
      <w:r w:rsidRPr="00F55522">
        <w:rPr>
          <w:noProof/>
          <w:szCs w:val="22"/>
          <w:lang w:eastAsia="es-ES"/>
        </w:rPr>
        <w:t>(Cappo &amp; Mironenkova, 2020)</w:t>
      </w:r>
      <w:r w:rsidRPr="00F55522">
        <w:rPr>
          <w:szCs w:val="22"/>
          <w:lang w:eastAsia="es-ES"/>
        </w:rPr>
        <w:fldChar w:fldCharType="end"/>
      </w:r>
      <w:r w:rsidRPr="00F55522">
        <w:rPr>
          <w:szCs w:val="22"/>
          <w:lang w:eastAsia="es-ES"/>
        </w:rPr>
        <w:t>. Es entonces, innegable el impacto del cambio climático no s</w:t>
      </w:r>
      <w:r w:rsidR="00676745">
        <w:rPr>
          <w:szCs w:val="22"/>
          <w:lang w:eastAsia="es-ES"/>
        </w:rPr>
        <w:t>ó</w:t>
      </w:r>
      <w:r w:rsidRPr="00F55522">
        <w:rPr>
          <w:szCs w:val="22"/>
          <w:lang w:eastAsia="es-ES"/>
        </w:rPr>
        <w:t xml:space="preserve">lo en naciones, sino también en empresas, e incluso en hogares. La gestión de riesgo climático se presta entonces como una herramienta necesaria para combatir y prevenir el problema </w:t>
      </w:r>
      <w:r w:rsidRPr="00F55522">
        <w:rPr>
          <w:szCs w:val="22"/>
          <w:lang w:eastAsia="es-ES"/>
        </w:rPr>
        <w:fldChar w:fldCharType="begin" w:fldLock="1"/>
      </w:r>
      <w:r w:rsidRPr="00F55522">
        <w:rPr>
          <w:szCs w:val="22"/>
          <w:lang w:eastAsia="es-ES"/>
        </w:rPr>
        <w:instrText>ADDIN CSL_CITATION {"citationItems":[{"id":"ITEM-1","itemData":{"author":[{"dropping-particle":"","family":"ONU","given":"","non-dropping-particle":"","parse-names":false,"suffix":""}],"id":"ITEM-1","issued":{"date-parts":[["2022"]]},"title":"Buscar Contacto Coronavirus (COVID-19) Empresa y cambio climático: El aumento de la sensibilización pública crea una oportunidad significativa","type":"article-journal"},"uris":["http://www.mendeley.com/documents/?uuid=14162ad6-526f-4655-9564-9304e52af2fb"]}],"mendeley":{"formattedCitation":"(ONU, 2022)","plainTextFormattedCitation":"(ONU, 2022)","previouslyFormattedCitation":"(ONU, 2022)"},"properties":{"noteIndex":0},"schema":"https://github.com/citation-style-language/schema/raw/master/csl-citation.json"}</w:instrText>
      </w:r>
      <w:r w:rsidRPr="00F55522">
        <w:rPr>
          <w:szCs w:val="22"/>
          <w:lang w:eastAsia="es-ES"/>
        </w:rPr>
        <w:fldChar w:fldCharType="separate"/>
      </w:r>
      <w:r w:rsidRPr="00F55522">
        <w:rPr>
          <w:noProof/>
          <w:szCs w:val="22"/>
          <w:lang w:eastAsia="es-ES"/>
        </w:rPr>
        <w:t>(ONU, 2022)</w:t>
      </w:r>
      <w:r w:rsidRPr="00F55522">
        <w:rPr>
          <w:szCs w:val="22"/>
          <w:lang w:eastAsia="es-ES"/>
        </w:rPr>
        <w:fldChar w:fldCharType="end"/>
      </w:r>
      <w:r w:rsidRPr="00F55522">
        <w:rPr>
          <w:szCs w:val="22"/>
          <w:lang w:eastAsia="es-ES"/>
        </w:rPr>
        <w:t>.</w:t>
      </w:r>
    </w:p>
    <w:p w14:paraId="2E6DFCCB" w14:textId="502A21E2"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Existe una correlación importante </w:t>
      </w:r>
      <w:r w:rsidR="00650EEF" w:rsidRPr="00F55522">
        <w:rPr>
          <w:rFonts w:cs="Arial"/>
          <w:iCs/>
          <w:color w:val="000000"/>
          <w:szCs w:val="22"/>
        </w:rPr>
        <w:t>para</w:t>
      </w:r>
      <w:r w:rsidRPr="00F55522">
        <w:rPr>
          <w:rFonts w:cs="Arial"/>
          <w:iCs/>
          <w:color w:val="000000"/>
          <w:szCs w:val="22"/>
        </w:rPr>
        <w:t xml:space="preserve"> tener en cuenta entre los riesgos de transición y los riesgos físicos, ya que la frecuencia con que se suelen manifestar los riesgos de un tipo suele afectar los riesgos del otro tipo. Por ejemplo, en la medida que se manifiesten </w:t>
      </w:r>
      <w:r w:rsidR="004F5616" w:rsidRPr="00F55522">
        <w:rPr>
          <w:rFonts w:cs="Arial"/>
          <w:iCs/>
          <w:color w:val="000000"/>
          <w:szCs w:val="22"/>
        </w:rPr>
        <w:t>más</w:t>
      </w:r>
      <w:r w:rsidRPr="00F55522">
        <w:rPr>
          <w:rFonts w:cs="Arial"/>
          <w:iCs/>
          <w:color w:val="000000"/>
          <w:szCs w:val="22"/>
        </w:rPr>
        <w:t xml:space="preserve"> riesgos de transición, quiere decir que hay una adaptabilidad del entorno contra los riesgos físicos. De igual manera, mientras más ocurrencias tengan los riesgos físicos, más severos y contundentes serán los cambios en los riesgos de transición </w:t>
      </w:r>
      <w:r w:rsidRPr="00F55522">
        <w:rPr>
          <w:rFonts w:cs="Arial"/>
          <w:iCs/>
          <w:color w:val="000000"/>
          <w:szCs w:val="22"/>
        </w:rPr>
        <w:fldChar w:fldCharType="begin" w:fldLock="1"/>
      </w:r>
      <w:r w:rsidRPr="00F55522">
        <w:rPr>
          <w:rFonts w:cs="Arial"/>
          <w:iCs/>
          <w:color w:val="000000"/>
          <w:szCs w:val="22"/>
        </w:rPr>
        <w:instrText>ADDIN CSL_CITATION {"citationItems":[{"id":"ITEM-1","itemData":{"ISSN":"18734359","abstract":"Abstract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Isabirye","given":"Moses","non-dropping-particle":"","parse-names":false,"suffix":""},{"dropping-particle":"","family":"Raju","given":"D.V.N","non-dropping-particle":"","parse-names":false,"suffix":""},{"dropping-particle":"","family":"Kitutu","given":"M.","non-dropping-particle":"","parse-names":false,"suffix":""},{"dropping-particle":"","family":"Yemeline","given":"V.","non-dropping-particle":"","parse-names":false,"suffix":""},{"dropping-particle":"","family":"Deckers","given":"J.","non-dropping-particle":"","parse-names":false,"suffix":""},{"dropping-particle":"","family":"J. Poesen Additional","given":"","non-dropping-particle":"","parse-names":false,"suffix":""}],"container-title":"Intech","id":"ITEM-1","issued":{"date-parts":[["2012"]]},"page":"13","title":"Climate Change, Credit Risk and Financial Stability","type":"article-journal"},"uris":["http://www.mendeley.com/documents/?uuid=76633489-1673-4fb2-b04b-75f56a889ebd"]}],"mendeley":{"formattedCitation":"(Isabirye et al., 2012)","plainTextFormattedCitation":"(Isabirye et al., 2012)","previouslyFormattedCitation":"(Isabirye et al., 2012)"},"properties":{"noteIndex":0},"schema":"https://github.com/citation-style-language/schema/raw/master/csl-citation.json"}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(Isabirye et al., 2012)</w:t>
      </w:r>
      <w:r w:rsidRPr="00F55522">
        <w:rPr>
          <w:rFonts w:cs="Arial"/>
          <w:iCs/>
          <w:color w:val="000000"/>
          <w:szCs w:val="22"/>
        </w:rPr>
        <w:fldChar w:fldCharType="end"/>
      </w:r>
      <w:r w:rsidRPr="00F55522">
        <w:rPr>
          <w:rFonts w:cs="Arial"/>
          <w:iCs/>
          <w:color w:val="000000"/>
          <w:szCs w:val="22"/>
        </w:rPr>
        <w:t>.</w:t>
      </w:r>
    </w:p>
    <w:p w14:paraId="4C87D0C3" w14:textId="4D7D71C4"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También es necesario resaltar que, los riesgos de transición se caracterizan en gran medida por su incertidumbre. Si bien los cambios de transición suelen ser graduales y </w:t>
      </w:r>
      <w:r w:rsidR="00650EEF" w:rsidRPr="00F55522">
        <w:rPr>
          <w:rFonts w:cs="Arial"/>
          <w:iCs/>
          <w:color w:val="000000"/>
          <w:szCs w:val="22"/>
        </w:rPr>
        <w:t>más</w:t>
      </w:r>
      <w:r w:rsidRPr="00F55522">
        <w:rPr>
          <w:rFonts w:cs="Arial"/>
          <w:iCs/>
          <w:color w:val="000000"/>
          <w:szCs w:val="22"/>
        </w:rPr>
        <w:t xml:space="preserve"> controlados, son impredecibles, pueden ser difíciles de predecir, e incluso si se llegaran a manifestar de manera </w:t>
      </w:r>
      <w:r w:rsidRPr="00F55522">
        <w:rPr>
          <w:rFonts w:cs="Arial"/>
          <w:iCs/>
          <w:color w:val="000000"/>
          <w:szCs w:val="22"/>
        </w:rPr>
        <w:lastRenderedPageBreak/>
        <w:t xml:space="preserve">tardía (como por ejemplo una medida tardía de una ley aprobada en el congreso) podría llegar a tener un impacto considerable en las empresas </w:t>
      </w:r>
      <w:r w:rsidRPr="00F55522">
        <w:rPr>
          <w:rFonts w:cs="Arial"/>
          <w:iCs/>
          <w:color w:val="000000"/>
          <w:szCs w:val="22"/>
        </w:rPr>
        <w:fldChar w:fldCharType="begin" w:fldLock="1"/>
      </w:r>
      <w:r w:rsidRPr="00F55522">
        <w:rPr>
          <w:rFonts w:cs="Arial"/>
          <w:iCs/>
          <w:color w:val="000000"/>
          <w:szCs w:val="22"/>
        </w:rPr>
        <w:instrText>ADDIN CSL_CITATION {"citationItems":[{"id":"ITEM-1","itemData":{"ISSN":"18734359","abstract":"Abstract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Isabirye","given":"Moses","non-dropping-particle":"","parse-names":false,"suffix":""},{"dropping-particle":"","family":"Raju","given":"D.V.N","non-dropping-particle":"","parse-names":false,"suffix":""},{"dropping-particle":"","family":"Kitutu","given":"M.","non-dropping-particle":"","parse-names":false,"suffix":""},{"dropping-particle":"","family":"Yemeline","given":"V.","non-dropping-particle":"","parse-names":false,"suffix":""},{"dropping-particle":"","family":"Deckers","given":"J.","non-dropping-particle":"","parse-names":false,"suffix":""},{"dropping-particle":"","family":"J. Poesen Additional","given":"","non-dropping-particle":"","parse-names":false,"suffix":""}],"container-title":"Intech","id":"ITEM-1","issued":{"date-parts":[["2012"]]},"page":"13","title":"Climate Change, Credit Risk and Financial Stability","type":"article-journal"},"uris":["http://www.mendeley.com/documents/?uuid=76633489-1673-4fb2-b04b-75f56a889ebd"]}],"mendeley":{"formattedCitation":"(Isabirye et al., 2012)","plainTextFormattedCitation":"(Isabirye et al., 2012)","previouslyFormattedCitation":"(Isabirye et al., 2012)"},"properties":{"noteIndex":0},"schema":"https://github.com/citation-style-language/schema/raw/master/csl-citation.json"}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(Isabirye et al., 2012)</w:t>
      </w:r>
      <w:r w:rsidRPr="00F55522">
        <w:rPr>
          <w:rFonts w:cs="Arial"/>
          <w:iCs/>
          <w:color w:val="000000"/>
          <w:szCs w:val="22"/>
        </w:rPr>
        <w:fldChar w:fldCharType="end"/>
      </w:r>
      <w:r w:rsidRPr="00F55522">
        <w:rPr>
          <w:rFonts w:cs="Arial"/>
          <w:iCs/>
          <w:color w:val="000000"/>
          <w:szCs w:val="22"/>
        </w:rPr>
        <w:t>.</w:t>
      </w:r>
    </w:p>
    <w:p w14:paraId="11609A97" w14:textId="77777777"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Toda esta teoría se justifica y sustenta en la necesidad de realizar acciones que ayuden a mitigar y prevenir las consecuencias derivadas de esas contingencias en los riesgos. La gestión del riesgo es precisamente el término que se utiliza para controlar esos riesgos que surgen. Si bien la gestión del riesgo tiene una definición amplia, en el presente documento se enfocará en la gestión de riesgos climáticos de transición </w:t>
      </w:r>
      <w:r w:rsidRPr="00F55522">
        <w:rPr>
          <w:rFonts w:cs="Arial"/>
          <w:iCs/>
          <w:color w:val="000000"/>
          <w:szCs w:val="22"/>
        </w:rPr>
        <w:fldChar w:fldCharType="begin" w:fldLock="1"/>
      </w:r>
      <w:r w:rsidRPr="00F55522">
        <w:rPr>
          <w:rFonts w:cs="Arial"/>
          <w:iCs/>
          <w:color w:val="000000"/>
          <w:szCs w:val="22"/>
        </w:rPr>
        <w:instrText>ADDIN CSL_CITATION {"citationItems":[{"id":"ITEM-1","itemData":{"author":[{"dropping-particle":"","family":"Zhan TIANa","given":"","non-dropping-particle":"","parse-names":false,"suffix":""},{"dropping-particle":"","family":"LYUb","given":"Xin-Yang","non-dropping-particle":"","parse-names":false,"suffix":""},{"dropping-particle":"","family":"ZOUc","given":"Huan","non-dropping-particle":"","parse-names":false,"suffix":""},{"dropping-particle":"","family":"Hong-Long YANGd","given":"","non-dropping-particle":"","parse-names":false,"suffix":""},{"dropping-particle":"","family":", Laixiang SUNc","given":"E","non-dropping-particle":"","parse-names":false,"suffix":""},{"dropping-particle":"","family":"PINYAf","given":"Maria Sunyer","non-dropping-particle":"","parse-names":false,"suffix":""},{"dropping-particle":"","family":", Qing-Chen CHAOg","given":"H","non-dropping-particle":"","parse-names":false,"suffix":""},{"dropping-particle":"","family":", Ai-Qing FENGg","given":"H","non-dropping-particle":"","parse-names":false,"suffix":""},{"dropping-particle":"","family":"SMITHf","given":"Ben","non-dropping-particle":"","parse-names":false,"suffix":""}],"container-title":"Science and Decisions","id":"ITEM-1","issued":{"date-parts":[["2022"]]},"title":"Advancing index-based climate risk assessment to facilitate adaptation planning: Application in Shanghai and Shenzhen, China","type":"article"},"uris":["http://www.mendeley.com/documents/?uuid=743d51ba-22d9-467f-8820-dea5f7094a3d"]}],"mendeley":{"formattedCitation":"(Zhan TIANa et al., 2022)","plainTextFormattedCitation":"(Zhan TIANa et al., 2022)","previouslyFormattedCitation":"(Zhan TIANa et al., 2022)"},"properties":{"noteIndex":0},"schema":"https://github.com/citation-style-language/schema/raw/master/csl-citation.json"}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(Zhan TIANa et al., 2022)</w:t>
      </w:r>
      <w:r w:rsidRPr="00F55522">
        <w:rPr>
          <w:rFonts w:cs="Arial"/>
          <w:iCs/>
          <w:color w:val="000000"/>
          <w:szCs w:val="22"/>
        </w:rPr>
        <w:fldChar w:fldCharType="end"/>
      </w:r>
      <w:r w:rsidRPr="00F55522">
        <w:rPr>
          <w:rFonts w:cs="Arial"/>
          <w:iCs/>
          <w:color w:val="000000"/>
          <w:szCs w:val="22"/>
        </w:rPr>
        <w:t>.</w:t>
      </w:r>
    </w:p>
    <w:p w14:paraId="6813984A" w14:textId="782B5FE7" w:rsidR="00D61089" w:rsidRPr="00F55522" w:rsidRDefault="00D524D0" w:rsidP="004E4EDF">
      <w:pPr>
        <w:spacing w:line="360" w:lineRule="auto"/>
        <w:jc w:val="both"/>
        <w:rPr>
          <w:rFonts w:cs="Arial"/>
          <w:iCs/>
          <w:color w:val="000000"/>
          <w:szCs w:val="22"/>
        </w:rPr>
      </w:pPr>
      <w:r w:rsidRPr="00F55522">
        <w:rPr>
          <w:rFonts w:cs="Arial"/>
          <w:iCs/>
          <w:color w:val="000000"/>
          <w:szCs w:val="22"/>
        </w:rPr>
        <w:t>Dentro de la gestión de riesgos, una herramienta útil y comúnmente utilizada es la matriz de riesgos, que permite clasificar una alta gama de riesgos, según su frecuencia y severidad, para determinar el impacto que cierto evento pueda tener en el objeto de estudio, como por ejemplo en una organización.</w:t>
      </w:r>
      <w:r w:rsidR="004E4EDF">
        <w:rPr>
          <w:rFonts w:cs="Arial"/>
          <w:iCs/>
          <w:color w:val="000000"/>
          <w:szCs w:val="22"/>
        </w:rPr>
        <w:t xml:space="preserve"> Visualmente, una matriz de riesgos presenta en un formato de matriz, los riesgos</w:t>
      </w:r>
      <w:r w:rsidRPr="00F55522">
        <w:rPr>
          <w:rFonts w:cs="Arial"/>
          <w:iCs/>
          <w:color w:val="000000"/>
          <w:szCs w:val="22"/>
        </w:rPr>
        <w:t xml:space="preserve"> </w:t>
      </w:r>
      <w:r w:rsidR="004E4EDF">
        <w:rPr>
          <w:rFonts w:cs="Arial"/>
          <w:iCs/>
          <w:color w:val="000000"/>
          <w:szCs w:val="22"/>
        </w:rPr>
        <w:t>previamente definidos, y se categorizan según su magnitud de severidad y frecuencia. Esta herramienta entonces ayuda a</w:t>
      </w:r>
      <w:r w:rsidRPr="00F55522">
        <w:rPr>
          <w:rFonts w:cs="Arial"/>
          <w:iCs/>
          <w:color w:val="000000"/>
          <w:szCs w:val="22"/>
        </w:rPr>
        <w:t xml:space="preserve"> priorizar ciertos riesgos por encima de otros</w:t>
      </w:r>
      <w:r w:rsidR="00EB7E34">
        <w:rPr>
          <w:rFonts w:cs="Arial"/>
          <w:iCs/>
          <w:color w:val="000000"/>
          <w:szCs w:val="22"/>
        </w:rPr>
        <w:t>, permitiendo a las empresas ejecutar planes de acción de acuerdo con las urgencias presentes en el momento</w:t>
      </w:r>
      <w:r w:rsidRPr="00F55522">
        <w:rPr>
          <w:rFonts w:cs="Arial"/>
          <w:iCs/>
          <w:color w:val="000000"/>
          <w:szCs w:val="22"/>
        </w:rPr>
        <w:t xml:space="preserve">. Esta herramienta ha demostrado ser útil para gestionar el riesgo </w:t>
      </w:r>
      <w:r w:rsidRPr="00F55522">
        <w:rPr>
          <w:rFonts w:cs="Arial"/>
          <w:iCs/>
          <w:color w:val="000000"/>
          <w:szCs w:val="22"/>
        </w:rPr>
        <w:fldChar w:fldCharType="begin" w:fldLock="1"/>
      </w:r>
      <w:r w:rsidR="00837846">
        <w:rPr>
          <w:rFonts w:cs="Arial"/>
          <w:iCs/>
          <w:color w:val="000000"/>
          <w:szCs w:val="22"/>
        </w:rPr>
        <w:instrText>ADDIN CSL_CITATION {"citationItems":[{"id":"ITEM-1","itemData":{"ISBN":"9788490225370","author":[{"dropping-particle":"","family":"Argos","given":"","non-dropping-particle":"","parse-names":false,"suffix":""}],"id":"ITEM-1","issued":{"date-parts":[["2021"]]},"title":"climate change risks and opportunities based on TCFD recommendations","type":"article-journal"},"uris":["http://www.mendeley.com/documents/?uuid=0697886f-5ba5-43dc-8b90-27f6372df6a2"]}],"mendeley":{"formattedCitation":"(Argos, 2021)","plainTextFormattedCitation":"(Argos, 2021)","previouslyFormattedCitation":"(Argos, 2021)"},"properties":{"noteIndex":0},"schema":"https://github.com/citation-style-language/schema/raw/master/csl-citation.json"}</w:instrText>
      </w:r>
      <w:r w:rsidRPr="00F55522">
        <w:rPr>
          <w:rFonts w:cs="Arial"/>
          <w:iCs/>
          <w:color w:val="000000"/>
          <w:szCs w:val="22"/>
        </w:rPr>
        <w:fldChar w:fldCharType="separate"/>
      </w:r>
      <w:r w:rsidR="00445317" w:rsidRPr="00445317">
        <w:rPr>
          <w:rFonts w:cs="Arial"/>
          <w:iCs/>
          <w:noProof/>
          <w:color w:val="000000"/>
          <w:szCs w:val="22"/>
        </w:rPr>
        <w:t>(Argos, 2021)</w:t>
      </w:r>
      <w:r w:rsidRPr="00F55522">
        <w:rPr>
          <w:rFonts w:cs="Arial"/>
          <w:iCs/>
          <w:color w:val="000000"/>
          <w:szCs w:val="22"/>
        </w:rPr>
        <w:fldChar w:fldCharType="end"/>
      </w:r>
      <w:r w:rsidR="00EB7E34">
        <w:rPr>
          <w:rFonts w:cs="Arial"/>
          <w:iCs/>
          <w:color w:val="000000"/>
          <w:szCs w:val="22"/>
        </w:rPr>
        <w:t>.</w:t>
      </w:r>
    </w:p>
    <w:p w14:paraId="12EC114D" w14:textId="77777777" w:rsidR="00D524D0" w:rsidRPr="00A056C1" w:rsidRDefault="00D524D0" w:rsidP="00A056C1">
      <w:pPr>
        <w:pStyle w:val="Ttulo4"/>
        <w:jc w:val="both"/>
        <w:rPr>
          <w:b w:val="0"/>
        </w:rPr>
      </w:pPr>
      <w:r w:rsidRPr="00A056C1">
        <w:t>Lógica Difusa</w:t>
      </w:r>
    </w:p>
    <w:p w14:paraId="0560831B" w14:textId="77777777"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Para lograr sobresalir en un ambiente competitivo es indispensable valerse de las mejores herramientas posibles, por lo que los avances científicos en las áreas de la gestión de riesgos no se han hecho esperar. Una de las técnicas más utilizadas para manejar la gestión de riesgos por su naturaleza es la lógica difusa o </w:t>
      </w:r>
      <w:proofErr w:type="spellStart"/>
      <w:r w:rsidRPr="00F55522">
        <w:rPr>
          <w:rFonts w:cs="Arial"/>
          <w:iCs/>
          <w:color w:val="000000"/>
          <w:szCs w:val="22"/>
        </w:rPr>
        <w:t>Fuzzy</w:t>
      </w:r>
      <w:proofErr w:type="spellEnd"/>
      <w:r w:rsidRPr="00F55522">
        <w:rPr>
          <w:rFonts w:cs="Arial"/>
          <w:iCs/>
          <w:color w:val="000000"/>
          <w:szCs w:val="22"/>
        </w:rPr>
        <w:t xml:space="preserve"> </w:t>
      </w:r>
      <w:proofErr w:type="spellStart"/>
      <w:r w:rsidRPr="00F55522">
        <w:rPr>
          <w:rFonts w:cs="Arial"/>
          <w:iCs/>
          <w:color w:val="000000"/>
          <w:szCs w:val="22"/>
        </w:rPr>
        <w:t>Logic</w:t>
      </w:r>
      <w:proofErr w:type="spellEnd"/>
      <w:r w:rsidRPr="00F55522">
        <w:rPr>
          <w:rFonts w:cs="Arial"/>
          <w:iCs/>
          <w:color w:val="000000"/>
          <w:szCs w:val="22"/>
        </w:rPr>
        <w:t xml:space="preserve"> en inglés. Esta técnica se ha usado en diferentes tipos de riesgos, entre ellos en el campo de la seguridad de la información </w:t>
      </w:r>
      <w:r w:rsidRPr="00F55522">
        <w:rPr>
          <w:rFonts w:cs="Arial"/>
          <w:iCs/>
          <w:color w:val="000000"/>
          <w:szCs w:val="22"/>
        </w:rPr>
        <w:fldChar w:fldCharType="begin" w:fldLock="1"/>
      </w:r>
      <w:r w:rsidRPr="00F55522">
        <w:rPr>
          <w:rFonts w:cs="Arial"/>
          <w:iCs/>
          <w:color w:val="000000"/>
          <w:szCs w:val="22"/>
        </w:rPr>
        <w:instrText>ADDIN CSL_CITATION {"citationItems":[{"id":"ITEM-1","itemData":{"ISSN":"2539-4169","abstract":"Abstract Information is the most valuable asset of an organization, and therefore, it is necessary to implement increasingly sophisticated techniques to protect it. Among the different techniques that can be used to measure risk analysis information, we can count security fuzzy logic and knowledge-based systems. The application of the properties of fuzzy logic allows risk analysis of information security from the approaches and experiences of specialists, creating a fuzzy system that takes into account the subjectivity of analysis and in turn it is a tool of simple use.","author":[{"dropping-particle":"","family":"Angarita","given":"A A","non-dropping-particle":"","parse-names":false,"suffix":""},{"dropping-particle":"","family":"Rios","given":"C A Tabares J I","non-dropping-particle":"","parse-names":false,"suffix":""}],"container-title":"Entre ciencia e ingeniería","id":"ITEM-1","issue":"17","issued":{"date-parts":[["2015"]]},"page":"71-80","title":"Definición de un modelo de medición de análisis de riesgos de la seguridad de la información aplicando lógica difusa y sistemas basados en el conocimiento","type":"article","volume":"9"},"uris":["http://www.mendeley.com/documents/?uuid=8608cc08-61b1-45ac-aa87-ecfcae8951a3"]}],"mendeley":{"formattedCitation":"(Angarita &amp; Rios, 2015)","plainTextFormattedCitation":"(Angarita &amp; Rios, 2015)","previouslyFormattedCitation":"(Angarita &amp; Rios, 2015)"},"properties":{"noteIndex":0},"schema":"https://github.com/citation-style-language/schema/raw/master/csl-citation.json"}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(Angarita &amp; Rios, 2015)</w:t>
      </w:r>
      <w:r w:rsidRPr="00F55522">
        <w:rPr>
          <w:rFonts w:cs="Arial"/>
          <w:iCs/>
          <w:color w:val="000000"/>
          <w:szCs w:val="22"/>
        </w:rPr>
        <w:fldChar w:fldCharType="end"/>
      </w:r>
      <w:r w:rsidRPr="00F55522">
        <w:rPr>
          <w:rFonts w:cs="Arial"/>
          <w:iCs/>
          <w:color w:val="000000"/>
          <w:szCs w:val="22"/>
        </w:rPr>
        <w:t>.</w:t>
      </w:r>
    </w:p>
    <w:p w14:paraId="629244E6" w14:textId="77777777"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Sin embargo, el uso de lógica difusa se extiende más allá del campo de la seguridad de la información, se usa también, por ejemplo, en el sector manufacturero, con la intención de reducir costos de manufactura, y algunos otros sobrecostos </w:t>
      </w:r>
      <w:r w:rsidRPr="00F55522">
        <w:rPr>
          <w:rFonts w:cs="Arial"/>
          <w:iCs/>
          <w:color w:val="000000"/>
          <w:szCs w:val="22"/>
        </w:rPr>
        <w:fldChar w:fldCharType="begin" w:fldLock="1"/>
      </w:r>
      <w:r w:rsidRPr="00F55522">
        <w:rPr>
          <w:rFonts w:cs="Arial"/>
          <w:iCs/>
          <w:color w:val="000000"/>
          <w:szCs w:val="22"/>
        </w:rPr>
        <w:instrText>ADDIN CSL_CITATION {"citationItems":[{"id":"ITEM-1","itemData":{"DOI":"10.1016/j.matpr.2021.12.415","ISSN":"22147853","abstract":"Many construction projects are undergoing losses due to various reasons. Hence study of cost overrun place a crucial role to minimise these losses in future projects. This paper aims to analyse 40 most important cost overrun factors of Indian construction industry which are identified through literature review. A fuzzy logic model is developed in MATLAB according to the Indian construction scenario considering two input parameters severity index (SI), Probability Index (PI) and one output parameter Fuzzy Index of Cost overrun (FIC) as it is capable of handling complex situations. A questionnaire survey is conducted to collect the data of 40 cost overrun factors which is further incorporated to developed fuzzy logic model to obtain their respective risk magnitudes. In this paper, a case study is carried out on Hyderabad Metro Rail project. The top five factors causing cost overrun in the Hyderabad Metro Rail project are identified as Land acquisition problem, Social and Cultural, Financial difficulty faced by contractor, Fluctuations in material's from the present research work.","author":[{"dropping-particle":"","family":"Alekhya","given":"G.B.S.","non-dropping-particle":"","parse-names":false,"suffix":""},{"dropping-particle":"","family":"Shashikanth","given":"K.","non-dropping-particle":"","parse-names":false,"suffix":""},{"dropping-particle":"","family":"Prasad","given":"M. Anjaneya","non-dropping-particle":"","parse-names":false,"suffix":""}],"container-title":"Materials Today: Proceedings","id":"ITEM-1","issue":"xxxx","issued":{"date-parts":[["2022"]]},"publisher":"Elsevier Ltd","title":"Risk assessment of cost overrun using fuzzy logic model","type":"article-journal"},"uris":["http://www.mendeley.com/documents/?uuid=eaa0bdbd-04c0-4f50-92b3-efcdf01db2c4"]}],"mendeley":{"formattedCitation":"(Alekhya et al., 2022)","plainTextFormattedCitation":"(Alekhya et al., 2022)","previouslyFormattedCitation":"(Alekhya et al., 2022)"},"properties":{"noteIndex":0},"schema":"https://github.com/citation-style-language/schema/raw/master/csl-citation.json"}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(Alekhya et al., 2022)</w:t>
      </w:r>
      <w:r w:rsidRPr="00F55522">
        <w:rPr>
          <w:rFonts w:cs="Arial"/>
          <w:iCs/>
          <w:color w:val="000000"/>
          <w:szCs w:val="22"/>
        </w:rPr>
        <w:fldChar w:fldCharType="end"/>
      </w:r>
      <w:r w:rsidRPr="00F55522">
        <w:rPr>
          <w:rFonts w:cs="Arial"/>
          <w:iCs/>
          <w:color w:val="000000"/>
          <w:szCs w:val="22"/>
        </w:rPr>
        <w:t>.</w:t>
      </w:r>
    </w:p>
    <w:p w14:paraId="206A1E32" w14:textId="77777777" w:rsidR="00D524D0" w:rsidRPr="00F55522" w:rsidRDefault="00D524D0" w:rsidP="00A056C1">
      <w:pPr>
        <w:spacing w:line="360" w:lineRule="auto"/>
        <w:jc w:val="both"/>
        <w:rPr>
          <w:rFonts w:cs="Arial"/>
          <w:iCs/>
          <w:color w:val="000000"/>
          <w:szCs w:val="22"/>
        </w:rPr>
      </w:pPr>
      <w:r w:rsidRPr="00F55522">
        <w:rPr>
          <w:rFonts w:cs="Arial"/>
          <w:iCs/>
          <w:color w:val="000000"/>
          <w:szCs w:val="22"/>
        </w:rPr>
        <w:t xml:space="preserve">La lógica difusa es útil cuando se quiere resolver un problema en el cual exista cierta ambigüedad en el tema. La lógica difusa, en este sentido funciona como un traductor entre lógica </w:t>
      </w:r>
      <w:r w:rsidRPr="00F55522">
        <w:rPr>
          <w:rFonts w:cs="Arial"/>
          <w:iCs/>
          <w:color w:val="000000"/>
          <w:szCs w:val="22"/>
        </w:rPr>
        <w:lastRenderedPageBreak/>
        <w:t xml:space="preserve">binaria de computador (0 o 1), y la lógica humana, en la cual por lo general existe una gran cantidad de matices o tonalidades, que son análogas en vez de digitales. Mediante el uso de lógica difusa, es posible reducir esa ambigüedad y evitar ciertos sesgos informativos </w:t>
      </w:r>
      <w:r w:rsidRPr="00F55522">
        <w:rPr>
          <w:rFonts w:cs="Arial"/>
          <w:iCs/>
          <w:color w:val="000000"/>
          <w:szCs w:val="22"/>
        </w:rPr>
        <w:fldChar w:fldCharType="begin" w:fldLock="1"/>
      </w:r>
      <w:r w:rsidRPr="00F55522">
        <w:rPr>
          <w:rFonts w:cs="Arial"/>
          <w:iCs/>
          <w:color w:val="000000"/>
          <w:szCs w:val="22"/>
        </w:rPr>
        <w:instrText>ADDIN CSL_CITATION {"citationItems":[{"id":"ITEM-1","itemData":{"ISSN":"2539-4169","abstract":"Abstract Information is the most valuable asset of an organization, and therefore, it is necessary to implement increasingly sophisticated techniques to protect it. Among the different techniques that can be used to measure risk analysis information, we can count security fuzzy logic and knowledge-based systems. The application of the properties of fuzzy logic allows risk analysis of information security from the approaches and experiences of specialists, creating a fuzzy system that takes into account the subjectivity of analysis and in turn it is a tool of simple use.","author":[{"dropping-particle":"","family":"Angarita","given":"A A","non-dropping-particle":"","parse-names":false,"suffix":""},{"dropping-particle":"","family":"Rios","given":"C A Tabares J I","non-dropping-particle":"","parse-names":false,"suffix":""}],"container-title":"Entre ciencia e ingeniería","id":"ITEM-1","issue":"17","issued":{"date-parts":[["2015"]]},"page":"71-80","title":"Definición de un modelo de medición de análisis de riesgos de la seguridad de la información aplicando lógica difusa y sistemas basados en el conocimiento","type":"article","volume":"9"},"uris":["http://www.mendeley.com/documents/?uuid=8608cc08-61b1-45ac-aa87-ecfcae8951a3"]}],"mendeley":{"formattedCitation":"(Angarita &amp; Rios, 2015)","plainTextFormattedCitation":"(Angarita &amp; Rios, 2015)","previouslyFormattedCitation":"(Angarita &amp; Rios, 2015)"},"properties":{"noteIndex":0},"schema":"https://github.com/citation-style-language/schema/raw/master/csl-citation.json"}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(Angarita &amp; Rios, 2015)</w:t>
      </w:r>
      <w:r w:rsidRPr="00F55522">
        <w:rPr>
          <w:rFonts w:cs="Arial"/>
          <w:iCs/>
          <w:color w:val="000000"/>
          <w:szCs w:val="22"/>
        </w:rPr>
        <w:fldChar w:fldCharType="end"/>
      </w:r>
      <w:r w:rsidRPr="00F55522">
        <w:rPr>
          <w:rFonts w:cs="Arial"/>
          <w:iCs/>
          <w:color w:val="000000"/>
          <w:szCs w:val="22"/>
        </w:rPr>
        <w:t>.</w:t>
      </w:r>
    </w:p>
    <w:p w14:paraId="21DF0DB2" w14:textId="3E82403F" w:rsidR="00F03F25" w:rsidRDefault="00D524D0" w:rsidP="00A056C1">
      <w:pPr>
        <w:spacing w:line="360" w:lineRule="auto"/>
        <w:jc w:val="both"/>
        <w:rPr>
          <w:rFonts w:cs="Arial"/>
          <w:iCs/>
          <w:color w:val="000000"/>
          <w:szCs w:val="22"/>
        </w:rPr>
      </w:pPr>
      <w:r w:rsidRPr="00F55522">
        <w:rPr>
          <w:rFonts w:cs="Arial"/>
          <w:iCs/>
          <w:color w:val="000000"/>
          <w:szCs w:val="22"/>
        </w:rPr>
        <w:t xml:space="preserve">La lógica difusa, por lo tanto, es útil y provechosa en el campo de la gestión de riesgos. Es posible, por ejemplo, construir una matriz de riesgos, en este caso climáticos de transición, a partir de información recogida y procesada a través de la técnica de lógica difusa </w:t>
      </w:r>
      <w:r w:rsidRPr="00F55522">
        <w:rPr>
          <w:rFonts w:cs="Arial"/>
          <w:iCs/>
          <w:color w:val="000000"/>
          <w:szCs w:val="22"/>
        </w:rPr>
        <w:fldChar w:fldCharType="begin" w:fldLock="1"/>
      </w:r>
      <w:r w:rsidRPr="00F55522">
        <w:rPr>
          <w:rFonts w:cs="Arial"/>
          <w:iCs/>
          <w:color w:val="000000"/>
          <w:szCs w:val="22"/>
        </w:rPr>
        <w:instrText>ADDIN CSL_CITATION {"citationItems":[{"id":"ITEM-1","itemData":{"DOI":"10.1016/j.proeng.2017.03.163","ISSN":"18777058","abstract":"Unexpected failures, the loss of production, and higher maintenance costs are major problems of manufacturing systems. Hence, certain investigating methods, such as Risk-based maintenance (RBM), help to deal with such issues. An important element of the RBM planning is to assess the consequences of action and prioritization of maintenance tasks based on the risk of potential failures. The main purpose of this classification is the right choice for maintenance strategy, maintenance intervals, and a certain level of spare parts in the storage. This manuscript illustrates the use of fuzzy logic for the minimization of suboptimal classifications, and it suggests a fuzzy inference system (FIS) for overcoming the challenge mentioned above. Membership functions and the rule base are developed. It is possible to integrate the suggested approach to currently existing computer-aided maintenance management system (CMMS) in a manufacturing firm (MF).","author":[{"dropping-particle":"","family":"Ratnayake","given":"R. M.Chandima","non-dropping-particle":"","parse-names":false,"suffix":""},{"dropping-particle":"","family":"Antosz","given":"Katarzyna","non-dropping-particle":"","parse-names":false,"suffix":""}],"container-title":"Procedia Engineering","id":"ITEM-1","issue":"1877","issued":{"date-parts":[["2017"]]},"page":"602-610","publisher":"The Author(s)","title":"Development of a Risk Matrix and Extending the Risk-based Maintenance Analysis with Fuzzy Logic","type":"article-journal","volume":"182"},"uris":["http://www.mendeley.com/documents/?uuid=c54d2198-be09-4953-b0eb-2b3438efeec1"]}],"mendeley":{"formattedCitation":"(Ratnayake &amp; Antosz, 2017)","plainTextFormattedCitation":"(Ratnayake &amp; Antosz, 2017)","previouslyFormattedCitation":"(Ratnayake &amp; Antosz, 2017)"},"properties":{"noteIndex":0},"schema":"https://github.com/citation-style-language/schema/raw/master/csl-citation.json"}</w:instrText>
      </w:r>
      <w:r w:rsidRPr="00F55522">
        <w:rPr>
          <w:rFonts w:cs="Arial"/>
          <w:iCs/>
          <w:color w:val="000000"/>
          <w:szCs w:val="22"/>
        </w:rPr>
        <w:fldChar w:fldCharType="separate"/>
      </w:r>
      <w:r w:rsidRPr="00F55522">
        <w:rPr>
          <w:rFonts w:cs="Arial"/>
          <w:iCs/>
          <w:noProof/>
          <w:color w:val="000000"/>
          <w:szCs w:val="22"/>
        </w:rPr>
        <w:t>(Ratnayake &amp; Antosz, 2017)</w:t>
      </w:r>
      <w:r w:rsidRPr="00F55522">
        <w:rPr>
          <w:rFonts w:cs="Arial"/>
          <w:iCs/>
          <w:color w:val="000000"/>
          <w:szCs w:val="22"/>
        </w:rPr>
        <w:fldChar w:fldCharType="end"/>
      </w:r>
      <w:r w:rsidRPr="00F55522">
        <w:rPr>
          <w:rFonts w:cs="Arial"/>
          <w:iCs/>
          <w:color w:val="000000"/>
          <w:szCs w:val="22"/>
        </w:rPr>
        <w:t>.</w:t>
      </w:r>
      <w:r w:rsidR="00EB7E34">
        <w:rPr>
          <w:rFonts w:cs="Arial"/>
          <w:iCs/>
          <w:color w:val="000000"/>
          <w:szCs w:val="22"/>
        </w:rPr>
        <w:t xml:space="preserve"> Además, se ha demostrado que los resultados obtenidos con matrices de lógica difusa en comparación con las tradicionales, son más precisos y confiables </w:t>
      </w:r>
      <w:r w:rsidR="00EB7E34">
        <w:rPr>
          <w:rFonts w:cs="Arial"/>
          <w:iCs/>
          <w:color w:val="000000"/>
          <w:szCs w:val="22"/>
        </w:rPr>
        <w:fldChar w:fldCharType="begin" w:fldLock="1"/>
      </w:r>
      <w:r w:rsidR="00780732">
        <w:rPr>
          <w:rFonts w:cs="Arial"/>
          <w:iCs/>
          <w:color w:val="000000"/>
          <w:szCs w:val="22"/>
        </w:rPr>
        <w:instrText>ADDIN CSL_CITATION {"citationItems":[{"id":"ITEM-1","itemData":{"DOI":"10.1016/j.jhazmat.2008.03.055","ISSN":"03043894","PMID":"18440700","abstract":"A risk matrix is a mechanism to characterize and rank process risks that are typically identified through one or more multifunctional reviews (e.g., process hazard analysis, audits, or incident investigation). This paper describes a procedure for developing a fuzzy risk matrix that may be used for emerging fuzzy logic applications in different safety analyses (e.g., LOPA). The fuzzification of frequency and severity of the consequences of the incident scenario are described which are basic inputs for fuzzy risk matrix. Subsequently using different design of risk matrix, fuzzy rules are established enabling the development of fuzzy risk matrices. Three types of fuzzy risk matrix have been developed (low-cost, standard, and high-cost), and using a distillation column case study, the effect of the design on final defuzzified risk index is demonstrated. © 2008 Elsevier B.V. All rights reserved.","author":[{"dropping-particle":"","family":"Markowski","given":"Adam S.","non-dropping-particle":"","parse-names":false,"suffix":""},{"dropping-particle":"","family":"Mannan","given":"M. Sam","non-dropping-particle":"","parse-names":false,"suffix":""}],"container-title":"Journal of Hazardous Materials","id":"ITEM-1","issue":"1","issued":{"date-parts":[["2008"]]},"page":"152-157","title":"Fuzzy risk matrix","type":"article-journal","volume":"159"},"uris":["http://www.mendeley.com/documents/?uuid=5c2eb26f-5d00-456b-be9b-119186ef3b9d"]}],"mendeley":{"formattedCitation":"(Markowski &amp; Mannan, 2008)","plainTextFormattedCitation":"(Markowski &amp; Mannan, 2008)","previouslyFormattedCitation":"(Markowski &amp; Mannan, 2008)"},"properties":{"noteIndex":0},"schema":"https://github.com/citation-style-language/schema/raw/master/csl-citation.json"}</w:instrText>
      </w:r>
      <w:r w:rsidR="00EB7E34">
        <w:rPr>
          <w:rFonts w:cs="Arial"/>
          <w:iCs/>
          <w:color w:val="000000"/>
          <w:szCs w:val="22"/>
        </w:rPr>
        <w:fldChar w:fldCharType="separate"/>
      </w:r>
      <w:r w:rsidR="00EB7E34" w:rsidRPr="00EB7E34">
        <w:rPr>
          <w:rFonts w:cs="Arial"/>
          <w:iCs/>
          <w:noProof/>
          <w:color w:val="000000"/>
          <w:szCs w:val="22"/>
        </w:rPr>
        <w:t>(Markowski &amp; Mannan, 2008)</w:t>
      </w:r>
      <w:r w:rsidR="00EB7E34">
        <w:rPr>
          <w:rFonts w:cs="Arial"/>
          <w:iCs/>
          <w:color w:val="000000"/>
          <w:szCs w:val="22"/>
        </w:rPr>
        <w:fldChar w:fldCharType="end"/>
      </w:r>
      <w:r w:rsidR="00EB7E34">
        <w:rPr>
          <w:rFonts w:cs="Arial"/>
          <w:iCs/>
          <w:color w:val="000000"/>
          <w:szCs w:val="22"/>
        </w:rPr>
        <w:t>.</w:t>
      </w:r>
    </w:p>
    <w:p w14:paraId="1AED9810" w14:textId="61BA7FE6" w:rsidR="00C15207" w:rsidRPr="00F55522" w:rsidRDefault="00C15207" w:rsidP="00A056C1">
      <w:pPr>
        <w:spacing w:line="360" w:lineRule="auto"/>
        <w:jc w:val="both"/>
        <w:rPr>
          <w:rFonts w:cs="Arial"/>
          <w:iCs/>
          <w:color w:val="000000"/>
          <w:szCs w:val="22"/>
        </w:rPr>
      </w:pPr>
      <w:r>
        <w:rPr>
          <w:rFonts w:cs="Arial"/>
          <w:iCs/>
          <w:color w:val="000000"/>
          <w:szCs w:val="22"/>
        </w:rPr>
        <w:t xml:space="preserve">Dentro del concepto de lógica difusa, se pueden encontrar diferentes mecanismos de este tipo de algoritmos, entre </w:t>
      </w:r>
      <w:r w:rsidR="000863F6">
        <w:rPr>
          <w:rFonts w:cs="Arial"/>
          <w:iCs/>
          <w:color w:val="000000"/>
          <w:szCs w:val="22"/>
        </w:rPr>
        <w:t>los</w:t>
      </w:r>
      <w:r>
        <w:rPr>
          <w:rFonts w:cs="Arial"/>
          <w:iCs/>
          <w:color w:val="000000"/>
          <w:szCs w:val="22"/>
        </w:rPr>
        <w:t xml:space="preserve"> más comúnmente usados se encuentran el </w:t>
      </w:r>
      <w:proofErr w:type="spellStart"/>
      <w:r>
        <w:rPr>
          <w:rFonts w:cs="Arial"/>
          <w:iCs/>
          <w:color w:val="000000"/>
          <w:szCs w:val="22"/>
        </w:rPr>
        <w:t>Sugeno</w:t>
      </w:r>
      <w:proofErr w:type="spellEnd"/>
      <w:r>
        <w:rPr>
          <w:rFonts w:cs="Arial"/>
          <w:iCs/>
          <w:color w:val="000000"/>
          <w:szCs w:val="22"/>
        </w:rPr>
        <w:t xml:space="preserve">, el </w:t>
      </w:r>
      <w:proofErr w:type="spellStart"/>
      <w:r>
        <w:rPr>
          <w:rFonts w:cs="Arial"/>
          <w:iCs/>
          <w:color w:val="000000"/>
          <w:szCs w:val="22"/>
        </w:rPr>
        <w:t>Mamdani</w:t>
      </w:r>
      <w:proofErr w:type="spellEnd"/>
      <w:r>
        <w:rPr>
          <w:rFonts w:cs="Arial"/>
          <w:iCs/>
          <w:color w:val="000000"/>
          <w:szCs w:val="22"/>
        </w:rPr>
        <w:t xml:space="preserve">, y el </w:t>
      </w:r>
      <w:proofErr w:type="spellStart"/>
      <w:r>
        <w:rPr>
          <w:rFonts w:cs="Arial"/>
          <w:iCs/>
          <w:color w:val="000000"/>
          <w:szCs w:val="22"/>
        </w:rPr>
        <w:t>Tsukamoto</w:t>
      </w:r>
      <w:proofErr w:type="spellEnd"/>
      <w:r>
        <w:rPr>
          <w:rFonts w:cs="Arial"/>
          <w:iCs/>
          <w:color w:val="000000"/>
          <w:szCs w:val="22"/>
        </w:rPr>
        <w:t xml:space="preserve">, todos ellos han sido utilizados para atender a problemas relacionados con la gestión de riesgos </w:t>
      </w:r>
      <w:r>
        <w:rPr>
          <w:rFonts w:cs="Arial"/>
          <w:iCs/>
          <w:color w:val="000000"/>
          <w:szCs w:val="22"/>
        </w:rPr>
        <w:fldChar w:fldCharType="begin" w:fldLock="1"/>
      </w:r>
      <w:r>
        <w:rPr>
          <w:rFonts w:cs="Arial"/>
          <w:iCs/>
          <w:color w:val="000000"/>
          <w:szCs w:val="22"/>
        </w:rPr>
        <w:instrText>ADDIN CSL_CITATION {"citationItems":[{"id":"ITEM-1","itemData":{"DOI":"//doi.org/doi:10.1016/j.cose.2017.09.011","author":[{"dropping-particle":"","family":"Mansour, Alali;Ahmad, Almogren;Mohammad, Mehedi Hassan;Iehab, AL Rassan;Zakirul","given":"Alam","non-dropping-particle":"","parse-names":false,"suffix":""},{"dropping-particle":"","family":"Bhuiyan","given":"","non-dropping-particle":"","parse-names":false,"suffix":""}],"id":"ITEM-1","issued":{"date-parts":[["2017"]]},"title":"Improving Risk Assessment Model of Cyber Security Using Fuzzy Logic Inference System","type":"article-journal"},"uris":["http://www.mendeley.com/documents/?uuid=4430e026-54f9-4328-83a4-ad4b8c2d61b2"]}],"mendeley":{"formattedCitation":"(Mansour, Alali;Ahmad, Almogren;Mohammad, Mehedi Hassan;Iehab, AL Rassan;Zakirul &amp; Bhuiyan, 2017)","manualFormatting":"(Alali. et al, 2017)","plainTextFormattedCitation":"(Mansour, Alali;Ahmad, Almogren;Mohammad, Mehedi Hassan;Iehab, AL Rassan;Zakirul &amp; Bhuiyan, 2017)","previouslyFormattedCitation":"(Mansour, Alali;Ahmad, Almogren;Mohammad, Mehedi Hassan;Iehab, AL Rassan;Zakirul &amp; Bhuiyan, 2017)"},"properties":{"noteIndex":0},"schema":"https://github.com/citation-style-language/schema/raw/master/csl-citation.json"}</w:instrText>
      </w:r>
      <w:r>
        <w:rPr>
          <w:rFonts w:cs="Arial"/>
          <w:iCs/>
          <w:color w:val="000000"/>
          <w:szCs w:val="22"/>
        </w:rPr>
        <w:fldChar w:fldCharType="separate"/>
      </w:r>
      <w:r w:rsidRPr="00C15207">
        <w:rPr>
          <w:rFonts w:cs="Arial"/>
          <w:iCs/>
          <w:noProof/>
          <w:color w:val="000000"/>
          <w:szCs w:val="22"/>
        </w:rPr>
        <w:t>(</w:t>
      </w:r>
      <w:r>
        <w:rPr>
          <w:rFonts w:cs="Arial"/>
          <w:iCs/>
          <w:noProof/>
          <w:color w:val="000000"/>
          <w:szCs w:val="22"/>
        </w:rPr>
        <w:t>Alali. et al</w:t>
      </w:r>
      <w:r w:rsidRPr="00C15207">
        <w:rPr>
          <w:rFonts w:cs="Arial"/>
          <w:iCs/>
          <w:noProof/>
          <w:color w:val="000000"/>
          <w:szCs w:val="22"/>
        </w:rPr>
        <w:t>, 2017)</w:t>
      </w:r>
      <w:r>
        <w:rPr>
          <w:rFonts w:cs="Arial"/>
          <w:iCs/>
          <w:color w:val="000000"/>
          <w:szCs w:val="22"/>
        </w:rPr>
        <w:fldChar w:fldCharType="end"/>
      </w:r>
      <w:r>
        <w:rPr>
          <w:rFonts w:cs="Arial"/>
          <w:iCs/>
          <w:color w:val="000000"/>
          <w:szCs w:val="22"/>
        </w:rPr>
        <w:t xml:space="preserve"> . Estos métodos tienen en común el uso de conjuntos borrosos como parámetro de entrada para el modelo computacional, pero difieren en </w:t>
      </w:r>
      <w:r w:rsidR="000863F6">
        <w:rPr>
          <w:rFonts w:cs="Arial"/>
          <w:iCs/>
          <w:color w:val="000000"/>
          <w:szCs w:val="22"/>
        </w:rPr>
        <w:t xml:space="preserve">el tipo de variable de salida. </w:t>
      </w:r>
      <w:r>
        <w:rPr>
          <w:rFonts w:cs="Arial"/>
          <w:iCs/>
          <w:color w:val="000000"/>
          <w:szCs w:val="22"/>
        </w:rPr>
        <w:t xml:space="preserve">No obstante, se ha probado con éxito el uso del método </w:t>
      </w:r>
      <w:proofErr w:type="spellStart"/>
      <w:r>
        <w:rPr>
          <w:rFonts w:cs="Arial"/>
          <w:iCs/>
          <w:color w:val="000000"/>
          <w:szCs w:val="22"/>
        </w:rPr>
        <w:t>Mamdani</w:t>
      </w:r>
      <w:proofErr w:type="spellEnd"/>
      <w:r>
        <w:rPr>
          <w:rFonts w:cs="Arial"/>
          <w:iCs/>
          <w:color w:val="000000"/>
          <w:szCs w:val="22"/>
        </w:rPr>
        <w:t xml:space="preserve"> en conjunto con una matriz de riesgo, sentando las bases para trabajos posteriores </w:t>
      </w:r>
      <w:r>
        <w:rPr>
          <w:rFonts w:cs="Arial"/>
          <w:iCs/>
          <w:color w:val="000000"/>
          <w:szCs w:val="22"/>
        </w:rPr>
        <w:fldChar w:fldCharType="begin" w:fldLock="1"/>
      </w:r>
      <w:r w:rsidR="00926A9B">
        <w:rPr>
          <w:rFonts w:cs="Arial"/>
          <w:iCs/>
          <w:color w:val="000000"/>
          <w:szCs w:val="22"/>
        </w:rPr>
        <w:instrText>ADDIN CSL_CITATION {"citationItems":[{"id":"ITEM-1","itemData":{"DOI":"10.1016/j.jhazmat.2008.03.055","ISSN":"03043894","PMID":"18440700","abstract":"A risk matrix is a mechanism to characterize and rank process risks that are typically identified through one or more multifunctional reviews (e.g., process hazard analysis, audits, or incident investigation). This paper describes a procedure for developing a fuzzy risk matrix that may be used for emerging fuzzy logic applications in different safety analyses (e.g., LOPA). The fuzzification of frequency and severity of the consequences of the incident scenario are described which are basic inputs for fuzzy risk matrix. Subsequently using different design of risk matrix, fuzzy rules are established enabling the development of fuzzy risk matrices. Three types of fuzzy risk matrix have been developed (low-cost, standard, and high-cost), and using a distillation column case study, the effect of the design on final defuzzified risk index is demonstrated. © 2008 Elsevier B.V. All rights reserved.","author":[{"dropping-particle":"","family":"Markowski","given":"Adam S.","non-dropping-particle":"","parse-names":false,"suffix":""},{"dropping-particle":"","family":"Mannan","given":"M. Sam","non-dropping-particle":"","parse-names":false,"suffix":""}],"container-title":"Journal of Hazardous Materials","id":"ITEM-1","issue":"1","issued":{"date-parts":[["2008"]]},"page":"152-157","title":"Fuzzy risk matrix","type":"article-journal","volume":"159"},"uris":["http://www.mendeley.com/documents/?uuid=5c2eb26f-5d00-456b-be9b-119186ef3b9d"]}],"mendeley":{"formattedCitation":"(Markowski &amp; Mannan, 2008)","plainTextFormattedCitation":"(Markowski &amp; Mannan, 2008)","previouslyFormattedCitation":"(Markowski &amp; Mannan, 2008)"},"properties":{"noteIndex":0},"schema":"https://github.com/citation-style-language/schema/raw/master/csl-citation.json"}</w:instrText>
      </w:r>
      <w:r>
        <w:rPr>
          <w:rFonts w:cs="Arial"/>
          <w:iCs/>
          <w:color w:val="000000"/>
          <w:szCs w:val="22"/>
        </w:rPr>
        <w:fldChar w:fldCharType="separate"/>
      </w:r>
      <w:r w:rsidRPr="00C15207">
        <w:rPr>
          <w:rFonts w:cs="Arial"/>
          <w:iCs/>
          <w:noProof/>
          <w:color w:val="000000"/>
          <w:szCs w:val="22"/>
        </w:rPr>
        <w:t>(Markowski &amp; Mannan, 2008)</w:t>
      </w:r>
      <w:r>
        <w:rPr>
          <w:rFonts w:cs="Arial"/>
          <w:iCs/>
          <w:color w:val="000000"/>
          <w:szCs w:val="22"/>
        </w:rPr>
        <w:fldChar w:fldCharType="end"/>
      </w:r>
      <w:r w:rsidR="000863F6">
        <w:rPr>
          <w:rFonts w:cs="Arial"/>
          <w:iCs/>
          <w:color w:val="000000"/>
          <w:szCs w:val="22"/>
        </w:rPr>
        <w:t>.</w:t>
      </w:r>
    </w:p>
    <w:p w14:paraId="52B17B54" w14:textId="77777777" w:rsidR="00F03F25" w:rsidRDefault="00F03F25" w:rsidP="00A056C1">
      <w:pPr>
        <w:pStyle w:val="Ttulo4"/>
        <w:jc w:val="both"/>
      </w:pPr>
      <w:r>
        <w:t>Métodos de ponderación de variables</w:t>
      </w:r>
    </w:p>
    <w:p w14:paraId="7DD52ABE" w14:textId="2399629A" w:rsidR="00F03F25" w:rsidRDefault="00F03F25" w:rsidP="00A056C1">
      <w:pPr>
        <w:jc w:val="both"/>
        <w:rPr>
          <w:lang w:eastAsia="es-ES"/>
        </w:rPr>
      </w:pPr>
      <w:r>
        <w:rPr>
          <w:lang w:eastAsia="es-ES"/>
        </w:rPr>
        <w:t xml:space="preserve">De acuerdo con </w:t>
      </w:r>
      <w:r>
        <w:rPr>
          <w:lang w:eastAsia="es-ES"/>
        </w:rPr>
        <w:fldChar w:fldCharType="begin" w:fldLock="1"/>
      </w:r>
      <w:r>
        <w:rPr>
          <w:lang w:eastAsia="es-ES"/>
        </w:rPr>
        <w:instrText>ADDIN CSL_CITATION {"citationItems":[{"id":"ITEM-1","itemData":{"DOI":"10.1016/j.jenvman.2020.110513","author":[{"dropping-particle":"","family":"Eric","given":"Walling","non-dropping-particle":"","parse-names":false,"suffix":""},{"dropping-particle":"","family":"Céline","given":"Vaneeckhaute","non-dropping-particle":"","parse-names":false,"suffix":""}],"id":"ITEM-1","issued":{"date-parts":[["2020"]]},"title":"Developing successful environmental decision support systems: Challenges and best practices. Journal of Environmental Management","type":"thesis"},"uris":["http://www.mendeley.com/documents/?uuid=2a80faa4-416c-30f2-827a-eef172c6ce6d"]}],"mendeley":{"formattedCitation":"(Eric &amp; Céline, 2020)","manualFormatting":"Eric &amp; Céline (2020)","plainTextFormattedCitation":"(Eric &amp; Céline, 2020)","previouslyFormattedCitation":"(Eric &amp; Céline, 2020)"},"properties":{"noteIndex":0},"schema":"https://github.com/citation-style-language/schema/raw/master/csl-citation.json"}</w:instrText>
      </w:r>
      <w:r>
        <w:rPr>
          <w:lang w:eastAsia="es-ES"/>
        </w:rPr>
        <w:fldChar w:fldCharType="separate"/>
      </w:r>
      <w:r w:rsidRPr="00BF7C5D">
        <w:rPr>
          <w:noProof/>
          <w:lang w:eastAsia="es-ES"/>
        </w:rPr>
        <w:t xml:space="preserve">Eric &amp; Céline </w:t>
      </w:r>
      <w:r>
        <w:rPr>
          <w:noProof/>
          <w:lang w:eastAsia="es-ES"/>
        </w:rPr>
        <w:t>(</w:t>
      </w:r>
      <w:r w:rsidRPr="00BF7C5D">
        <w:rPr>
          <w:noProof/>
          <w:lang w:eastAsia="es-ES"/>
        </w:rPr>
        <w:t>2020)</w:t>
      </w:r>
      <w:r>
        <w:rPr>
          <w:lang w:eastAsia="es-ES"/>
        </w:rPr>
        <w:fldChar w:fldCharType="end"/>
      </w:r>
      <w:r>
        <w:rPr>
          <w:lang w:eastAsia="es-ES"/>
        </w:rPr>
        <w:t xml:space="preserve"> las mejores prácticas para elaborar sistemas de decisión sobre temas ambientales van de la mano con las metodologías de toma de decisiones multicriterio (MCDM, </w:t>
      </w:r>
      <w:r w:rsidRPr="00D92D9B">
        <w:rPr>
          <w:i/>
          <w:lang w:eastAsia="es-ES"/>
        </w:rPr>
        <w:t>Multi-</w:t>
      </w:r>
      <w:proofErr w:type="spellStart"/>
      <w:r w:rsidRPr="00D92D9B">
        <w:rPr>
          <w:i/>
          <w:lang w:eastAsia="es-ES"/>
        </w:rPr>
        <w:t>Criteria</w:t>
      </w:r>
      <w:proofErr w:type="spellEnd"/>
      <w:r w:rsidRPr="00D92D9B">
        <w:rPr>
          <w:i/>
          <w:lang w:eastAsia="es-ES"/>
        </w:rPr>
        <w:t xml:space="preserve"> </w:t>
      </w:r>
      <w:proofErr w:type="spellStart"/>
      <w:r w:rsidRPr="00D92D9B">
        <w:rPr>
          <w:i/>
          <w:lang w:eastAsia="es-ES"/>
        </w:rPr>
        <w:t>Cecision</w:t>
      </w:r>
      <w:proofErr w:type="spellEnd"/>
      <w:r w:rsidRPr="00D92D9B">
        <w:rPr>
          <w:i/>
          <w:lang w:eastAsia="es-ES"/>
        </w:rPr>
        <w:t xml:space="preserve"> </w:t>
      </w:r>
      <w:proofErr w:type="spellStart"/>
      <w:r w:rsidRPr="00D92D9B">
        <w:rPr>
          <w:i/>
          <w:lang w:eastAsia="es-ES"/>
        </w:rPr>
        <w:t>Making</w:t>
      </w:r>
      <w:proofErr w:type="spellEnd"/>
      <w:r>
        <w:rPr>
          <w:lang w:eastAsia="es-ES"/>
        </w:rPr>
        <w:t>). Esta metodología supera a otras como el análisis costo beneficio, y la gestión de ciclo de vida, debido a que son capaces de incluir mayores consideraciones al respecto</w:t>
      </w:r>
      <w:r w:rsidR="00780732">
        <w:rPr>
          <w:lang w:eastAsia="es-ES"/>
        </w:rPr>
        <w:t xml:space="preserve"> </w:t>
      </w:r>
      <w:r w:rsidR="00780732">
        <w:rPr>
          <w:lang w:eastAsia="es-ES"/>
        </w:rPr>
        <w:fldChar w:fldCharType="begin" w:fldLock="1"/>
      </w:r>
      <w:r w:rsidR="001F57C8">
        <w:rPr>
          <w:lang w:eastAsia="es-ES"/>
        </w:rPr>
        <w:instrText>ADDIN CSL_CITATION {"citationItems":[{"id":"ITEM-1","itemData":{"DOI":"10.1016/j.jenvman.2020.110513","author":[{"dropping-particle":"","family":"Eric","given":"Walling","non-dropping-particle":"","parse-names":false,"suffix":""},{"dropping-particle":"","family":"Céline","given":"Vaneeckhaute","non-dropping-particle":"","parse-names":false,"suffix":""}],"id":"ITEM-1","issued":{"date-parts":[["2020"]]},"title":"Developing successful environmental decision support systems: Challenges and best practices. Journal of Environmental Management","type":"thesis"},"uris":["http://www.mendeley.com/documents/?uuid=2a80faa4-416c-30f2-827a-eef172c6ce6d"]}],"mendeley":{"formattedCitation":"(Eric &amp; Céline, 2020)","plainTextFormattedCitation":"(Eric &amp; Céline, 2020)","previouslyFormattedCitation":"(Eric &amp; Céline, 2020)"},"properties":{"noteIndex":0},"schema":"https://github.com/citation-style-language/schema/raw/master/csl-citation.json"}</w:instrText>
      </w:r>
      <w:r w:rsidR="00780732">
        <w:rPr>
          <w:lang w:eastAsia="es-ES"/>
        </w:rPr>
        <w:fldChar w:fldCharType="separate"/>
      </w:r>
      <w:r w:rsidR="00780732" w:rsidRPr="00780732">
        <w:rPr>
          <w:noProof/>
          <w:lang w:eastAsia="es-ES"/>
        </w:rPr>
        <w:t>(Eric &amp; Céline, 2020)</w:t>
      </w:r>
      <w:r w:rsidR="00780732">
        <w:rPr>
          <w:lang w:eastAsia="es-ES"/>
        </w:rPr>
        <w:fldChar w:fldCharType="end"/>
      </w:r>
      <w:r>
        <w:rPr>
          <w:lang w:eastAsia="es-ES"/>
        </w:rPr>
        <w:t xml:space="preserve">. Una metodología de costo beneficio podría resultar limitante al considerar únicamente dos aspectos, mientras que la gestión del ciclo de vida no es tan completa como MCDM. Dentro de MCDM encontramos igualmente varias metodologías </w:t>
      </w:r>
      <w:r>
        <w:rPr>
          <w:lang w:eastAsia="es-ES"/>
        </w:rPr>
        <w:lastRenderedPageBreak/>
        <w:t xml:space="preserve">útiles que parten del mismo principio de definir criterios, calificar alternativas y devolver un resultado. </w:t>
      </w:r>
    </w:p>
    <w:p w14:paraId="75D5A412" w14:textId="19D133F4" w:rsidR="00F03F25" w:rsidRDefault="00F03F25" w:rsidP="00A056C1">
      <w:pPr>
        <w:jc w:val="both"/>
        <w:rPr>
          <w:lang w:eastAsia="es-ES"/>
        </w:rPr>
      </w:pPr>
      <w:r>
        <w:rPr>
          <w:lang w:eastAsia="es-ES"/>
        </w:rPr>
        <w:t>AHP (</w:t>
      </w:r>
      <w:proofErr w:type="spellStart"/>
      <w:r w:rsidRPr="00697B45">
        <w:rPr>
          <w:lang w:eastAsia="es-ES"/>
        </w:rPr>
        <w:t>Analytic</w:t>
      </w:r>
      <w:proofErr w:type="spellEnd"/>
      <w:r w:rsidRPr="00697B45">
        <w:rPr>
          <w:lang w:eastAsia="es-ES"/>
        </w:rPr>
        <w:t xml:space="preserve"> </w:t>
      </w:r>
      <w:proofErr w:type="spellStart"/>
      <w:r w:rsidRPr="00697B45">
        <w:rPr>
          <w:lang w:eastAsia="es-ES"/>
        </w:rPr>
        <w:t>Hierarchy</w:t>
      </w:r>
      <w:proofErr w:type="spellEnd"/>
      <w:r w:rsidRPr="00697B45">
        <w:rPr>
          <w:lang w:eastAsia="es-ES"/>
        </w:rPr>
        <w:t xml:space="preserve"> </w:t>
      </w:r>
      <w:proofErr w:type="spellStart"/>
      <w:r w:rsidRPr="00697B45">
        <w:rPr>
          <w:lang w:eastAsia="es-ES"/>
        </w:rPr>
        <w:t>Process</w:t>
      </w:r>
      <w:proofErr w:type="spellEnd"/>
      <w:r>
        <w:rPr>
          <w:lang w:eastAsia="es-ES"/>
        </w:rPr>
        <w:t xml:space="preserve">) es uno de los más conocidos, se basa en la escala de </w:t>
      </w:r>
      <w:proofErr w:type="spellStart"/>
      <w:r>
        <w:rPr>
          <w:lang w:eastAsia="es-ES"/>
        </w:rPr>
        <w:t>Saaty</w:t>
      </w:r>
      <w:proofErr w:type="spellEnd"/>
      <w:r>
        <w:rPr>
          <w:lang w:eastAsia="es-ES"/>
        </w:rPr>
        <w:t xml:space="preserve"> para hacer comparaciones entre las alternativas según los criterios, devolviendo como resultado un ranking de alternativas con sus respectivas relevancias (de forma cuantitativa) </w:t>
      </w:r>
      <w:r>
        <w:rPr>
          <w:lang w:eastAsia="es-ES"/>
        </w:rPr>
        <w:fldChar w:fldCharType="begin" w:fldLock="1"/>
      </w:r>
      <w:r w:rsidR="008774A4">
        <w:rPr>
          <w:lang w:eastAsia="es-ES"/>
        </w:rPr>
        <w:instrText>ADDIN CSL_CITATION {"citationItems":[{"id":"ITEM-1","itemData":{"author":[{"dropping-particle":"","family":"THOMAS L. SAATY","given":"","non-dropping-particle":"","parse-names":false,"suffix":""}],"id":"ITEM-1","issued":{"date-parts":[["1977"]]},"title":"A scaling method for priorities in hierarchical structures. Journal of Mathematical Psychology","type":"thesis"},"uris":["http://www.mendeley.com/documents/?uuid=b16ed5b5-6930-3f68-b405-6acc3e5cd55d"]}],"mendeley":{"formattedCitation":"(THOMAS L. SAATY, 1977)","manualFormatting":"(Thomas L. Saaty, 1977)","plainTextFormattedCitation":"(THOMAS L. SAATY, 1977)","previouslyFormattedCitation":"(THOMAS L. SAATY, 1977)"},"properties":{"noteIndex":0},"schema":"https://github.com/citation-style-language/schema/raw/master/csl-citation.json"}</w:instrText>
      </w:r>
      <w:r>
        <w:rPr>
          <w:lang w:eastAsia="es-ES"/>
        </w:rPr>
        <w:fldChar w:fldCharType="separate"/>
      </w:r>
      <w:r w:rsidRPr="00697B45">
        <w:rPr>
          <w:noProof/>
          <w:lang w:eastAsia="es-ES"/>
        </w:rPr>
        <w:t>(T</w:t>
      </w:r>
      <w:r w:rsidR="00E26849">
        <w:rPr>
          <w:noProof/>
          <w:lang w:eastAsia="es-ES"/>
        </w:rPr>
        <w:t>homas</w:t>
      </w:r>
      <w:r w:rsidRPr="00697B45">
        <w:rPr>
          <w:noProof/>
          <w:lang w:eastAsia="es-ES"/>
        </w:rPr>
        <w:t xml:space="preserve"> L. S</w:t>
      </w:r>
      <w:r w:rsidR="00E26849">
        <w:rPr>
          <w:noProof/>
          <w:lang w:eastAsia="es-ES"/>
        </w:rPr>
        <w:t>aaty</w:t>
      </w:r>
      <w:r w:rsidRPr="00697B45">
        <w:rPr>
          <w:noProof/>
          <w:lang w:eastAsia="es-ES"/>
        </w:rPr>
        <w:t>, 1977)</w:t>
      </w:r>
      <w:r>
        <w:rPr>
          <w:lang w:eastAsia="es-ES"/>
        </w:rPr>
        <w:fldChar w:fldCharType="end"/>
      </w:r>
      <w:r>
        <w:rPr>
          <w:lang w:eastAsia="es-ES"/>
        </w:rPr>
        <w:t>. A pesar de la antigüedad de la metodología, sigue siendo un referente para la toma de decisiones, y una de las metodologías más utilizadas</w:t>
      </w:r>
      <w:r w:rsidR="001F57C8">
        <w:rPr>
          <w:lang w:eastAsia="es-ES"/>
        </w:rPr>
        <w:t xml:space="preserve"> </w:t>
      </w:r>
      <w:r w:rsidR="001F57C8">
        <w:rPr>
          <w:lang w:eastAsia="es-ES"/>
        </w:rPr>
        <w:fldChar w:fldCharType="begin" w:fldLock="1"/>
      </w:r>
      <w:r w:rsidR="001F57C8">
        <w:rPr>
          <w:lang w:eastAsia="es-ES"/>
        </w:rPr>
        <w:instrText>ADDIN CSL_CITATION {"citationItems":[{"id":"ITEM-1","itemData":{"DOI":"10.1016/j.energy.2020.117675","abstract":"Selection of the most appropriate waste-to-energy technologies for distributed electricity generation is a complex and multi-criteria decision problem as it involves trade-off among conflicting criteria which have to be considered simultaneously. In this study, the Technique for Order of Preference by Similarity to an Ideal Solution (TOPSIS) with Entropy Weighted method is applied to select the optimal technology among the waste-to-energy technological options using the waste stream of Lagos, Nigeria. The results presented show that anaerobic digestion has been the best waste to energy technology solution for electricity generation in Lagos, followed by pyrolysis while incineration is seen as the worst preferred option of choice for energy generation applicability in standalone model. In order to maximally extract energy from waste in a sustainable, economical, and environmentally friendly manner, an integrated application of waste-to-energy technologies is also explored. It is found that the hybrid of anaerobic digestion, landfill gas recovery and pyrolysis give the most favourable results in terms of environmental benefits and electricity generation potential. It is also revealed that incineration technology either in the standalone or in the hybrid form is completely discouraged from being implemented in Lagos basically due to its high investment, operation and maintenance costs as well as its discouraging environmental image. Although, the case study in this paper is that of Lagos, Nigeria but the methodology presented could be used for any cosmopolitan city around the world.","author":[{"dropping-particle":"","family":"Alao","given":"M A","non-dropping-particle":"","parse-names":false,"suffix":""},{"dropping-particle":"","family":"Ayodele","given":"T R","non-dropping-particle":"","parse-names":false,"suffix":""},{"dropping-particle":"","family":"Ogunjuyigbe","given":"A S O","non-dropping-particle":"","parse-names":false,"suffix":""},{"dropping-particle":"","family":"Popoola","given":"O M","non-dropping-particle":"","parse-names":false,"suffix":""}],"id":"ITEM-1","issued":{"date-parts":[["2020"]]},"title":"Multi-criteria decision based waste to energy technology selection using entropy-weighted TOPSIS technique: The case study of Lagos, Nigeria","type":"article-journal"},"uris":["http://www.mendeley.com/documents/?uuid=9989dc44-1023-3cde-a16b-59a941281f70"]}],"mendeley":{"formattedCitation":"(Alao, Ayodele, Ogunjuyigbe, &amp; Popoola, 2020)","plainTextFormattedCitation":"(Alao, Ayodele, Ogunjuyigbe, &amp; Popoola, 2020)","previouslyFormattedCitation":"(Alao, Ayodele, Ogunjuyigbe, &amp; Popoola, 2020)"},"properties":{"noteIndex":0},"schema":"https://github.com/citation-style-language/schema/raw/master/csl-citation.json"}</w:instrText>
      </w:r>
      <w:r w:rsidR="001F57C8">
        <w:rPr>
          <w:lang w:eastAsia="es-ES"/>
        </w:rPr>
        <w:fldChar w:fldCharType="separate"/>
      </w:r>
      <w:r w:rsidR="001F57C8" w:rsidRPr="001F57C8">
        <w:rPr>
          <w:noProof/>
          <w:lang w:eastAsia="es-ES"/>
        </w:rPr>
        <w:t>(Alao, Ayodele, Ogunjuyigbe, &amp; Popoola, 2020)</w:t>
      </w:r>
      <w:r w:rsidR="001F57C8">
        <w:rPr>
          <w:lang w:eastAsia="es-ES"/>
        </w:rPr>
        <w:fldChar w:fldCharType="end"/>
      </w:r>
      <w:r>
        <w:rPr>
          <w:lang w:eastAsia="es-ES"/>
        </w:rPr>
        <w:t xml:space="preserve">. Se ha utilizado en estudios similares de impacto ambiental, para gestionar los riesgos de inundación en áreas urbanas </w:t>
      </w:r>
      <w:r>
        <w:rPr>
          <w:lang w:eastAsia="es-ES"/>
        </w:rPr>
        <w:fldChar w:fldCharType="begin" w:fldLock="1"/>
      </w:r>
      <w:r>
        <w:rPr>
          <w:lang w:eastAsia="es-ES"/>
        </w:rPr>
        <w:instrText>ADDIN CSL_CITATION {"citationItems":[{"id":"ITEM-1","itemData":{"DOI":"10.1016/j.scs.2022.104138","abstract":"This study proposed an integrated approach to investigate the flooding risk in urban areas of mega-cities. The new method integrated the grey decision-making trial and evaluation laboratory (Grey-DEMATEL) into analytical hierarchical process (AHP) (simplified as G-DEMATEL-AHP). The risk distribution was mapped using geographic information system (GIS). A nine-score questionnaire was adopted in Grey-DEMATEL to analyse the inundation risk. Zhengzhou was selected as a case study with different rainfall scenarios, including flooding disaster induced by heavy storm on July 20, 2021 (i.e., \"7.20 Storm\") and average rainfall of five years (i.e., \"5-Yr Average\"). The results showed that the proposed method can assess the flood risk distribution effectively in Zhengzhou. Comparison between the results from different scenarios showed that the impact of the \"7.20 Storm\" was much stronger than that of the \"5-Yr Average\" scenario. Moreover, an existing method, fuzzy AHP (FAHP), was also used to assess the same scenario. The results indicated that the G-DEMATEL-AHP method could more effectively identify the most critical risk areas when compared to the FAHP.","author":[{"dropping-particle":"","family":"Zheng","given":"Qian","non-dropping-particle":"","parse-names":false,"suffix":""},{"dropping-particle":"","family":"Shen","given":"Shui-Long","non-dropping-particle":"","parse-names":false,"suffix":""},{"dropping-particle":"","family":"Zhou","given":"Annan","non-dropping-particle":"","parse-names":false,"suffix":""},{"dropping-particle":"","family":"Lyu","given":"Hai-Min","non-dropping-particle":"","parse-names":false,"suffix":""}],"id":"ITEM-1","issued":{"date-parts":[["2022"]]},"title":"Inundation risk assessment based on G-DEMATEL-AHP and its application to Zhengzhou flooding disaster","type":"article-journal"},"uris":["http://www.mendeley.com/documents/?uuid=e66525e7-b180-310e-b810-34dcc986a412"]}],"mendeley":{"formattedCitation":"(Zheng, Shen, Zhou, &amp; Lyu, 2022)","plainTextFormattedCitation":"(Zheng, Shen, Zhou, &amp; Lyu, 2022)","previouslyFormattedCitation":"(Zheng, Shen, Zhou, &amp; Lyu, 2022)"},"properties":{"noteIndex":0},"schema":"https://github.com/citation-style-language/schema/raw/master/csl-citation.json"}</w:instrText>
      </w:r>
      <w:r>
        <w:rPr>
          <w:lang w:eastAsia="es-ES"/>
        </w:rPr>
        <w:fldChar w:fldCharType="separate"/>
      </w:r>
      <w:r w:rsidRPr="00F97A2B">
        <w:rPr>
          <w:noProof/>
          <w:lang w:eastAsia="es-ES"/>
        </w:rPr>
        <w:t>(Zheng, Shen, Zhou, &amp; Lyu, 2022)</w:t>
      </w:r>
      <w:r>
        <w:rPr>
          <w:lang w:eastAsia="es-ES"/>
        </w:rPr>
        <w:fldChar w:fldCharType="end"/>
      </w:r>
      <w:r>
        <w:rPr>
          <w:lang w:eastAsia="es-ES"/>
        </w:rPr>
        <w:t xml:space="preserve">. De igual forma, se utilizó para analizar los riesgos de vulnerabilidad y contaminación de la cuenca hidrográfica </w:t>
      </w:r>
      <w:proofErr w:type="spellStart"/>
      <w:r>
        <w:rPr>
          <w:lang w:eastAsia="es-ES"/>
        </w:rPr>
        <w:t>Tokto</w:t>
      </w:r>
      <w:proofErr w:type="spellEnd"/>
      <w:r>
        <w:rPr>
          <w:lang w:eastAsia="es-ES"/>
        </w:rPr>
        <w:t xml:space="preserve"> </w:t>
      </w:r>
      <w:proofErr w:type="spellStart"/>
      <w:r>
        <w:rPr>
          <w:lang w:eastAsia="es-ES"/>
        </w:rPr>
        <w:t>River</w:t>
      </w:r>
      <w:proofErr w:type="spellEnd"/>
      <w:r>
        <w:rPr>
          <w:lang w:eastAsia="es-ES"/>
        </w:rPr>
        <w:t xml:space="preserve"> </w:t>
      </w:r>
      <w:proofErr w:type="spellStart"/>
      <w:r>
        <w:rPr>
          <w:lang w:eastAsia="es-ES"/>
        </w:rPr>
        <w:t>Basin</w:t>
      </w:r>
      <w:proofErr w:type="spellEnd"/>
      <w:r>
        <w:rPr>
          <w:lang w:eastAsia="es-ES"/>
        </w:rPr>
        <w:t xml:space="preserve"> en India </w:t>
      </w:r>
      <w:r>
        <w:rPr>
          <w:lang w:eastAsia="es-ES"/>
        </w:rPr>
        <w:fldChar w:fldCharType="begin" w:fldLock="1"/>
      </w:r>
      <w:r>
        <w:rPr>
          <w:lang w:eastAsia="es-ES"/>
        </w:rPr>
        <w:instrText>ADDIN CSL_CITATION {"citationItems":[{"id":"ITEM-1","itemData":{"DOI":"10.1016/j.chemosphere.2022.135831","author":[{"dropping-particle":"","family":"Bera","given":"Amit","non-dropping-particle":"","parse-names":false,"suffix":""},{"dropping-particle":"","family":"Mukhopadhyay","given":"Bhabani Prasad","non-dropping-particle":"","parse-names":false,"suffix":""},{"dropping-particle":"","family":"Das","given":"Shubhamita","non-dropping-particle":"","parse-names":false,"suffix":""}],"id":"ITEM-1","issued":{"date-parts":[["2022"]]},"title":"Groundwater vulnerability and contamination risk mapping of semi-arid Totko river basin, India using GIS-based DRASTIC model and AHP techniques","type":"article-journal"},"uris":["http://www.mendeley.com/documents/?uuid=e72b8b55-c6d1-3689-a00e-0bda460eb0a4"]}],"mendeley":{"formattedCitation":"(Bera, Mukhopadhyay, &amp; Das, 2022)","plainTextFormattedCitation":"(Bera, Mukhopadhyay, &amp; Das, 2022)","previouslyFormattedCitation":"(Bera, Mukhopadhyay, &amp; Das, 2022)"},"properties":{"noteIndex":0},"schema":"https://github.com/citation-style-language/schema/raw/master/csl-citation.json"}</w:instrText>
      </w:r>
      <w:r>
        <w:rPr>
          <w:lang w:eastAsia="es-ES"/>
        </w:rPr>
        <w:fldChar w:fldCharType="separate"/>
      </w:r>
      <w:r w:rsidRPr="00B97A84">
        <w:rPr>
          <w:noProof/>
          <w:lang w:eastAsia="es-ES"/>
        </w:rPr>
        <w:t>(Bera, Mukhopadhyay, &amp; Das, 2022)</w:t>
      </w:r>
      <w:r>
        <w:rPr>
          <w:lang w:eastAsia="es-ES"/>
        </w:rPr>
        <w:fldChar w:fldCharType="end"/>
      </w:r>
      <w:r>
        <w:rPr>
          <w:lang w:eastAsia="es-ES"/>
        </w:rPr>
        <w:t xml:space="preserve">. </w:t>
      </w:r>
    </w:p>
    <w:p w14:paraId="200439DB" w14:textId="022F3A74" w:rsidR="00F03F25" w:rsidRDefault="00F03F25" w:rsidP="00A056C1">
      <w:pPr>
        <w:jc w:val="both"/>
        <w:rPr>
          <w:lang w:eastAsia="es-ES"/>
        </w:rPr>
      </w:pPr>
      <w:r>
        <w:rPr>
          <w:lang w:eastAsia="es-ES"/>
        </w:rPr>
        <w:t>ELECTRE es otro de los métodos de decisión de multi criterios</w:t>
      </w:r>
      <w:r w:rsidRPr="0013038F">
        <w:rPr>
          <w:lang w:eastAsia="es-ES"/>
        </w:rPr>
        <w:t xml:space="preserve"> </w:t>
      </w:r>
      <w:r>
        <w:rPr>
          <w:lang w:eastAsia="es-ES"/>
        </w:rPr>
        <w:t>más conocidos y utilizados</w:t>
      </w:r>
      <w:r w:rsidR="001F57C8">
        <w:rPr>
          <w:lang w:eastAsia="es-ES"/>
        </w:rPr>
        <w:t xml:space="preserve"> </w:t>
      </w:r>
      <w:r w:rsidR="001F57C8">
        <w:rPr>
          <w:lang w:eastAsia="es-ES"/>
        </w:rPr>
        <w:fldChar w:fldCharType="begin" w:fldLock="1"/>
      </w:r>
      <w:r w:rsidR="001F57C8">
        <w:rPr>
          <w:lang w:eastAsia="es-ES"/>
        </w:rPr>
        <w:instrText>ADDIN CSL_CITATION {"citationItems":[{"id":"ITEM-1","itemData":{"DOI":"10.1016/j.eswa.2022.118488","abstract":"In order to cope with the growing problem of flood disasters, it is crucial to improve the urban flood resilience. Hence, this paper develops a novel evaluation methodology to find the weak links and capacity gaps of urban flood resilience. Firstly, according to the three periods of flood, the urban flood resilience evaluation indicator system is divided into the predictive capacity subsystem before the flood, the absorptive and coping capacity subsystem and the recovery capacity subsystem during the flood, and the adaptive capacity subsystem after the flood. This indicator system also creatively introduces the density of hydrological and meteorological station networks into the predictive capacity subsystem, and divides the adaptive capacity more meticulously into learning capacity at the governmental and individual-society levels. Secondly, a novel three-reference-point (T-R-P) based group ELECTRE III method is proposed to rank the flood resilience of different cities. This method integrates subjective and objective information to obtain more reasonable expert weights, and then sets thresholds with T-R-P to obtain more comprehensive and objective evaluation results. Furthermore, the proposed methodology is applied to six flood-prone cities in China, and its practicality and availability are verified through comparative analysis with other three evaluation methods and sensitivity analysis of the indicator weights. Finally, based on the results, targeted suggestions are made to enhance the flood resilience of the six cities.","author":[{"dropping-particle":"","family":"Tu","given":"Yan","non-dropping-particle":"","parse-names":false,"suffix":""},{"dropping-particle":"","family":"Shi","given":"Hongwei","non-dropping-particle":"","parse-names":false,"suffix":""},{"dropping-particle":"","family":"Chen","given":"Kai","non-dropping-particle":"","parse-names":false,"suffix":""},{"dropping-particle":"","family":"Liang","given":"Yingying","non-dropping-particle":"","parse-names":false,"suffix":""},{"dropping-particle":"","family":"Zhou","given":"Xiaoyang","non-dropping-particle":"","parse-names":false,"suffix":""},{"dropping-particle":"","family":"Lev","given":"Benjamin","non-dropping-particle":"","parse-names":false,"suffix":""}],"container-title":"Expert Systems With Applications","id":"ITEM-1","issued":{"date-parts":[["2022"]]},"page":"118488","title":"Three-reference-point based group ELECTRE III method for urban flood resilience evaluation","type":"article-journal","volume":"210"},"uris":["http://www.mendeley.com/documents/?uuid=6ac74df6-406b-39e0-8583-8f829bbda187"]}],"mendeley":{"formattedCitation":"(Tu et al., 2022)","plainTextFormattedCitation":"(Tu et al., 2022)","previouslyFormattedCitation":"(Tu et al., 2022)"},"properties":{"noteIndex":0},"schema":"https://github.com/citation-style-language/schema/raw/master/csl-citation.json"}</w:instrText>
      </w:r>
      <w:r w:rsidR="001F57C8">
        <w:rPr>
          <w:lang w:eastAsia="es-ES"/>
        </w:rPr>
        <w:fldChar w:fldCharType="separate"/>
      </w:r>
      <w:r w:rsidR="001F57C8" w:rsidRPr="001F57C8">
        <w:rPr>
          <w:noProof/>
          <w:lang w:eastAsia="es-ES"/>
        </w:rPr>
        <w:t>(Tu et al., 2022)</w:t>
      </w:r>
      <w:r w:rsidR="001F57C8">
        <w:rPr>
          <w:lang w:eastAsia="es-ES"/>
        </w:rPr>
        <w:fldChar w:fldCharType="end"/>
      </w:r>
      <w:r>
        <w:rPr>
          <w:lang w:eastAsia="es-ES"/>
        </w:rPr>
        <w:t xml:space="preserve">. Este se basa en la calificación de alternativas según ciertos criterios definidos, y mediante un proceso de cálculos en los cuales se encuentran las fortalezas y debilidades de los métodos, se obtiene como resultado el ranking de las mejores alternativas, pero sin su respectivo impacto en forma escalar </w:t>
      </w:r>
      <w:r>
        <w:rPr>
          <w:lang w:eastAsia="es-ES"/>
        </w:rPr>
        <w:fldChar w:fldCharType="begin" w:fldLock="1"/>
      </w:r>
      <w:r>
        <w:rPr>
          <w:lang w:eastAsia="es-ES"/>
        </w:rPr>
        <w:instrText>ADDIN CSL_CITATION {"citationItems":[{"id":"ITEM-1","itemData":{"author":[{"dropping-particle":"","family":"José Rui","given":"Figueira","non-dropping-particle":"","parse-names":false,"suffix":""},{"dropping-particle":"","family":"Vincent","given":"Mousseau","non-dropping-particle":"","parse-names":false,"suffix":""},{"dropping-particle":"","family":"Bernard","given":"Roy","non-dropping-particle":"","parse-names":false,"suffix":""}],"id":"ITEM-1","issued":{"date-parts":[["0"]]},"title":"ELECTRE Methods","type":"book"},"uris":["http://www.mendeley.com/documents/?uuid=07c48666-1d1d-4996-9cf1-2712e75db2a4"]}],"mendeley":{"formattedCitation":"(José Rui, Vincent, &amp; Bernard, n.d.)","plainTextFormattedCitation":"(José Rui, Vincent, &amp; Bernard, n.d.)","previouslyFormattedCitation":"(José Rui, Vincent, &amp; Bernard, n.d.)"},"properties":{"noteIndex":0},"schema":"https://github.com/citation-style-language/schema/raw/master/csl-citation.json"}</w:instrText>
      </w:r>
      <w:r>
        <w:rPr>
          <w:lang w:eastAsia="es-ES"/>
        </w:rPr>
        <w:fldChar w:fldCharType="separate"/>
      </w:r>
      <w:r w:rsidRPr="00E23202">
        <w:rPr>
          <w:noProof/>
          <w:lang w:eastAsia="es-ES"/>
        </w:rPr>
        <w:t>(José Rui, Vincent, &amp; Bernard, n.d.)</w:t>
      </w:r>
      <w:r>
        <w:rPr>
          <w:lang w:eastAsia="es-ES"/>
        </w:rPr>
        <w:fldChar w:fldCharType="end"/>
      </w:r>
      <w:r>
        <w:rPr>
          <w:lang w:eastAsia="es-ES"/>
        </w:rPr>
        <w:t xml:space="preserve">. De igual manera, este método ha sido utilizado en estudios similares. Es importante mencionar que el método ELECTRE ha evolucionado de varias formas dando paso a distintas variaciones del método original, todas con los mismos principios. Se ha utilizado para evaluar la resiliencia de inundaciones urbanas, usando ELECTRE III </w:t>
      </w:r>
      <w:r>
        <w:rPr>
          <w:lang w:eastAsia="es-ES"/>
        </w:rPr>
        <w:fldChar w:fldCharType="begin" w:fldLock="1"/>
      </w:r>
      <w:r>
        <w:rPr>
          <w:lang w:eastAsia="es-ES"/>
        </w:rPr>
        <w:instrText>ADDIN CSL_CITATION {"citationItems":[{"id":"ITEM-1","itemData":{"DOI":"10.1016/j.eswa.2022.118488","abstract":"In order to cope with the growing problem of flood disasters, it is crucial to improve the urban flood resilience. Hence, this paper develops a novel evaluation methodology to find the weak links and capacity gaps of urban flood resilience. Firstly, according to the three periods of flood, the urban flood resilience evaluation indicator system is divided into the predictive capacity subsystem before the flood, the absorptive and coping capacity subsystem and the recovery capacity subsystem during the flood, and the adaptive capacity subsystem after the flood. This indicator system also creatively introduces the density of hydrological and meteorological station networks into the predictive capacity subsystem, and divides the adaptive capacity more meticulously into learning capacity at the governmental and individual-society levels. Secondly, a novel three-reference-point (T-R-P) based group ELECTRE III method is proposed to rank the flood resilience of different cities. This method integrates subjective and objective information to obtain more reasonable expert weights, and then sets thresholds with T-R-P to obtain more comprehensive and objective evaluation results. Furthermore, the proposed methodology is applied to six flood-prone cities in China, and its practicality and availability are verified through comparative analysis with other three evaluation methods and sensitivity analysis of the indicator weights. Finally, based on the results, targeted suggestions are made to enhance the flood resilience of the six cities.","author":[{"dropping-particle":"","family":"Tu","given":"Yan","non-dropping-particle":"","parse-names":false,"suffix":""},{"dropping-particle":"","family":"Shi","given":"Hongwei","non-dropping-particle":"","parse-names":false,"suffix":""},{"dropping-particle":"","family":"Chen","given":"Kai","non-dropping-particle":"","parse-names":false,"suffix":""},{"dropping-particle":"","family":"Liang","given":"Yingying","non-dropping-particle":"","parse-names":false,"suffix":""},{"dropping-particle":"","family":"Zhou","given":"Xiaoyang","non-dropping-particle":"","parse-names":false,"suffix":""},{"dropping-particle":"","family":"Lev","given":"Benjamin","non-dropping-particle":"","parse-names":false,"suffix":""}],"container-title":"Expert Systems With Applications","id":"ITEM-1","issued":{"date-parts":[["2022"]]},"page":"118488","title":"Three-reference-point based group ELECTRE III method for urban flood resilience evaluation","type":"article-journal","volume":"210"},"uris":["http://www.mendeley.com/documents/?uuid=6ac74df6-406b-39e0-8583-8f829bbda187"]}],"mendeley":{"formattedCitation":"(Tu et al., 2022)","plainTextFormattedCitation":"(Tu et al., 2022)","previouslyFormattedCitation":"(Tu et al., 2022)"},"properties":{"noteIndex":0},"schema":"https://github.com/citation-style-language/schema/raw/master/csl-citation.json"}</w:instrText>
      </w:r>
      <w:r>
        <w:rPr>
          <w:lang w:eastAsia="es-ES"/>
        </w:rPr>
        <w:fldChar w:fldCharType="separate"/>
      </w:r>
      <w:r w:rsidRPr="00E23202">
        <w:rPr>
          <w:noProof/>
          <w:lang w:eastAsia="es-ES"/>
        </w:rPr>
        <w:t>(Tu et al., 2022)</w:t>
      </w:r>
      <w:r>
        <w:rPr>
          <w:lang w:eastAsia="es-ES"/>
        </w:rPr>
        <w:fldChar w:fldCharType="end"/>
      </w:r>
      <w:r>
        <w:rPr>
          <w:lang w:eastAsia="es-ES"/>
        </w:rPr>
        <w:t xml:space="preserve">. En </w:t>
      </w:r>
      <w:r w:rsidR="00483A76">
        <w:rPr>
          <w:lang w:eastAsia="es-ES"/>
        </w:rPr>
        <w:t>Sídney</w:t>
      </w:r>
      <w:r>
        <w:rPr>
          <w:lang w:eastAsia="es-ES"/>
        </w:rPr>
        <w:t xml:space="preserve">, se llevó a cabo un estudio en el cual analizaban mediante ELECTRE III cuál era la mejor opción para gestionar la vulnerabilidad al cambio </w:t>
      </w:r>
      <w:r>
        <w:rPr>
          <w:lang w:eastAsia="es-ES"/>
        </w:rPr>
        <w:lastRenderedPageBreak/>
        <w:t xml:space="preserve">climático, partiendo del estrés por calor como parámetro </w:t>
      </w:r>
      <w:r>
        <w:rPr>
          <w:lang w:eastAsia="es-ES"/>
        </w:rPr>
        <w:fldChar w:fldCharType="begin" w:fldLock="1"/>
      </w:r>
      <w:r>
        <w:rPr>
          <w:lang w:eastAsia="es-ES"/>
        </w:rPr>
        <w:instrText>ADDIN CSL_CITATION {"citationItems":[{"id":"ITEM-1","itemData":{"DOI":"10.1016/j.ecolind.2014.08.012","abstract":"Climate change vulnerability assessment is a complex form of risk assessment which accounts for both geophysical and socioeconomic components of risk. In indicator-based vulnerability assessment (IBVA), indicators are used to rank the vulnerabilities of socio-ecological systems (SESs). The predominant aggre-gation approach in the literature, sometimes based on multi-attribute utility theory (MAUT), typically builds a global-scale, utility function based on weighted summation, to generate rankings. However, the corresponding requirement for additive independence and complete knowledge of system interactions by analyst are rarely if ever satisfied in IBVA. We build an analogy between the structures of Multi-Criteria Decision Analysis (MCDA) and IBVA problems and show that a set of techniques called Outranking Methods, developed in MCDA to deal with criteria incommensurability, data uncertainty and preference imprecision, offer IBVA a sound alternative to additive or multiplicative aggregation. We reformulate IBVA problems within an outranking framework , define thresholds of difference and use an outranking method, ELECTRE III, to assess the relative vulnerability to heat stress of 15 local government areas in metropolitan Sydney. We find that the ranking outcomes are robust and argue that an outranking approach is better suited for assessments characterized by a mix of qualitative, semi-quantitative and quantitative indicators, threshold effects and uncertainties about the exact relationships between indicators and vulnerability.","author":[{"dropping-particle":"","family":"El-Zein","given":"Abbas","non-dropping-particle":"","parse-names":false,"suffix":""},{"dropping-particle":"","family":"Tonmoy","given":"Fahim N","non-dropping-particle":"","parse-names":false,"suffix":""}],"container-title":"Ecological Indicators","id":"ITEM-1","issued":{"date-parts":[["2015"]]},"page":"207-217","title":"Assessment of vulnerability to climate change using a multi-criteria outranking approach with application to heat stress in Sydney","type":"article-journal","volume":"48"},"uris":["http://www.mendeley.com/documents/?uuid=0a134d8c-4ec5-3baf-85cf-d7d23e3f150b"]}],"mendeley":{"formattedCitation":"(El-Zein &amp; Tonmoy, 2015)","plainTextFormattedCitation":"(El-Zein &amp; Tonmoy, 2015)","previouslyFormattedCitation":"(El-Zein &amp; Tonmoy, 2015)"},"properties":{"noteIndex":0},"schema":"https://github.com/citation-style-language/schema/raw/master/csl-citation.json"}</w:instrText>
      </w:r>
      <w:r>
        <w:rPr>
          <w:lang w:eastAsia="es-ES"/>
        </w:rPr>
        <w:fldChar w:fldCharType="separate"/>
      </w:r>
      <w:r w:rsidRPr="00881511">
        <w:rPr>
          <w:noProof/>
          <w:lang w:eastAsia="es-ES"/>
        </w:rPr>
        <w:t>(El-Zein &amp; Tonmoy, 2015)</w:t>
      </w:r>
      <w:r>
        <w:rPr>
          <w:lang w:eastAsia="es-ES"/>
        </w:rPr>
        <w:fldChar w:fldCharType="end"/>
      </w:r>
      <w:r>
        <w:rPr>
          <w:lang w:eastAsia="es-ES"/>
        </w:rPr>
        <w:t xml:space="preserve">. </w:t>
      </w:r>
      <w:r>
        <w:rPr>
          <w:lang w:eastAsia="es-ES"/>
        </w:rPr>
        <w:fldChar w:fldCharType="begin" w:fldLock="1"/>
      </w:r>
      <w:r>
        <w:rPr>
          <w:lang w:eastAsia="es-ES"/>
        </w:rPr>
        <w:instrText>ADDIN CSL_CITATION {"citationItems":[{"id":"ITEM-1","itemData":{"DOI":"10.1016/j.tifs.2022.02.027","author":[{"dropping-particle":"","family":"Feliciano","given":"Rodney J","non-dropping-particle":"","parse-names":false,"suffix":""},{"dropping-particle":"","family":"Guzmán-Luna","given":"Paola","non-dropping-particle":"","parse-names":false,"suffix":""},{"dropping-particle":"","family":"Boué","given":"Geraldine","non-dropping-particle":"","parse-names":false,"suffix":""},{"dropping-particle":"","family":"Mauricio-Iglesias","given":"Miguel","non-dropping-particle":"","parse-names":false,"suffix":""},{"dropping-particle":"","family":"Hospido","given":"Almudena","non-dropping-particle":"","parse-names":false,"suffix":""},{"dropping-particle":"","family":"Membré","given":"Jeanne-Marie","non-dropping-particle":"","parse-names":false,"suffix":""}],"container-title":"Trends in Food Science &amp; Technology","id":"ITEM-1","issued":{"date-parts":[["2022"]]},"page":"180-191","title":"Strategies to mitigate food safety risk while minimizing environmental impacts in the era of climate change","type":"article-journal","volume":"126"},"uris":["http://www.mendeley.com/documents/?uuid=f048e30b-28a5-30d1-8839-a2149c6d48d6"]}],"mendeley":{"formattedCitation":"(Feliciano et al., 2022)","manualFormatting":"Feliciano et al. (2022)","plainTextFormattedCitation":"(Feliciano et al., 2022)","previouslyFormattedCitation":"(Feliciano et al., 2022)"},"properties":{"noteIndex":0},"schema":"https://github.com/citation-style-language/schema/raw/master/csl-citation.json"}</w:instrText>
      </w:r>
      <w:r>
        <w:rPr>
          <w:lang w:eastAsia="es-ES"/>
        </w:rPr>
        <w:fldChar w:fldCharType="separate"/>
      </w:r>
      <w:r w:rsidRPr="00881511">
        <w:rPr>
          <w:noProof/>
          <w:lang w:eastAsia="es-ES"/>
        </w:rPr>
        <w:t xml:space="preserve">Feliciano et al. </w:t>
      </w:r>
      <w:r>
        <w:rPr>
          <w:noProof/>
          <w:lang w:eastAsia="es-ES"/>
        </w:rPr>
        <w:t>(</w:t>
      </w:r>
      <w:r w:rsidRPr="00881511">
        <w:rPr>
          <w:noProof/>
          <w:lang w:eastAsia="es-ES"/>
        </w:rPr>
        <w:t>2022)</w:t>
      </w:r>
      <w:r>
        <w:rPr>
          <w:lang w:eastAsia="es-ES"/>
        </w:rPr>
        <w:fldChar w:fldCharType="end"/>
      </w:r>
      <w:r>
        <w:rPr>
          <w:lang w:eastAsia="es-ES"/>
        </w:rPr>
        <w:t xml:space="preserve"> llevaron a cabo un estudio en el cual utilizaron tanto ELECTRE como AHP con el propósito de definir las mejores estrategias para mitigar los riesgos de seguridad en la comida, minimizando el impacto al medio ambiente. Otro estudio relevante que demuestra el uso efectivo de ELECTRE en escenarios similares al de este caso de estudio, es el de </w:t>
      </w:r>
      <w:r>
        <w:rPr>
          <w:lang w:eastAsia="es-ES"/>
        </w:rPr>
        <w:fldChar w:fldCharType="begin" w:fldLock="1"/>
      </w:r>
      <w:r>
        <w:rPr>
          <w:lang w:eastAsia="es-ES"/>
        </w:rPr>
        <w:instrText>ADDIN CSL_CITATION {"citationItems":[{"id":"ITEM-1","itemData":{"DOI":"10.1016/j.ecolecon.2019.05.012","ISSN":"0921-8009","author":[{"dropping-particle":"","family":"Monasterolo","given":"Irene","non-dropping-particle":"","parse-names":false,"suffix":""},{"dropping-particle":"","family":"Roventini","given":"Andrea","non-dropping-particle":"","parse-names":false,"suffix":""},{"dropping-particle":"","family":"Foxon","given":"Tim J","non-dropping-particle":"","parse-names":false,"suffix":""}],"container-title":"Ecological Economics","id":"ITEM-1","issue":"June","issued":{"date-parts":[["2019"]]},"page":"177-182","publisher":"Elsevier","title":"Uncertainty of climate policies and implications for economics and finance : An evolutionary economics approach","type":"article-journal","volume":"163"},"uris":["http://www.mendeley.com/documents/?uuid=f81a66d5-3970-4acd-b212-c59ff7ab7ebe"]},{"id":"ITEM-2","itemData":{"DOI":"10.1016/j.rser.2014.04.005","abstract":"Currently, many defects have appeared in wind and solar power generation systems. Utilizing the complementary of wind and solar power generation will break the bottleneck of new energy development. How to select the site of wind/solar hybrid power station scientifically is a primary problem. First, the framework of the indicator system is obtained from the literature review and refined according to the resources evaluation standards and different perspectives of the various scholars. Then this paper selects seven wind/solar hybrid power stations which have been put into operation as the case study, weights the indicators through the method of order relations, and evaluates these seven regions via ELECTRE-II. The conclusions are consistent with the related research findings and have better correctness, proving the feasibility and effectiveness of the method. It may provide some theoretical basis for the macro-site selection of wind/solar hybrid power station.","author":[{"dropping-particle":"","family":"Jun","given":"Dong","non-dropping-particle":"","parse-names":false,"suffix":""},{"dropping-particle":"","family":"Tian-Tian","given":"Feng","non-dropping-particle":"","parse-names":false,"suffix":""},{"dropping-particle":"","family":"Yi-Sheng","given":"Yang","non-dropping-particle":"","parse-names":false,"suffix":""},{"dropping-particle":"","family":"Yu","given":"Ma","non-dropping-particle":"","parse-names":false,"suffix":""}],"id":"ITEM-2","issued":{"date-parts":[["0"]]},"title":"Macro-site selection of wind/solar hybrid power station based on ELECTRE-II","type":"article-journal"},"uris":["http://www.mendeley.com/documents/?uuid=7fc2c951-1682-3002-b925-56d03680325e"]}],"mendeley":{"formattedCitation":"(D. Jun, Tian-Tian, Yi-Sheng, &amp; Yu, n.d.; Monasterolo, Roventini, &amp; Foxon, 2019)","manualFormatting":"Jun, Tian-Tian, Yi-Sheng, &amp; Yu (n.d.","plainTextFormattedCitation":"(D. Jun, Tian-Tian, Yi-Sheng, &amp; Yu, n.d.; Monasterolo, Roventini, &amp; Foxon, 2019)","previouslyFormattedCitation":"(D. Jun, Tian-Tian, Yi-Sheng, &amp; Yu, n.d.; Monasterolo, Roventini, &amp; Foxon, 2019)"},"properties":{"noteIndex":0},"schema":"https://github.com/citation-style-language/schema/raw/master/csl-citation.json"}</w:instrText>
      </w:r>
      <w:r>
        <w:rPr>
          <w:lang w:eastAsia="es-ES"/>
        </w:rPr>
        <w:fldChar w:fldCharType="separate"/>
      </w:r>
      <w:r w:rsidRPr="00881511">
        <w:rPr>
          <w:noProof/>
          <w:lang w:eastAsia="es-ES"/>
        </w:rPr>
        <w:t xml:space="preserve">Jun, Tian-Tian, Yi-Sheng, &amp; Yu </w:t>
      </w:r>
      <w:r>
        <w:rPr>
          <w:noProof/>
          <w:lang w:eastAsia="es-ES"/>
        </w:rPr>
        <w:t>(</w:t>
      </w:r>
      <w:r w:rsidRPr="00881511">
        <w:rPr>
          <w:noProof/>
          <w:lang w:eastAsia="es-ES"/>
        </w:rPr>
        <w:t>n.d.</w:t>
      </w:r>
      <w:r>
        <w:rPr>
          <w:lang w:eastAsia="es-ES"/>
        </w:rPr>
        <w:fldChar w:fldCharType="end"/>
      </w:r>
      <w:r>
        <w:rPr>
          <w:lang w:eastAsia="es-ES"/>
        </w:rPr>
        <w:t>) en el cual se utiliza ELECTRE II para determinar la mejor ubicación de una planta de energía solar-eólica con el objetivo de maximizar la creación de energía que estas dos fuentes producen.</w:t>
      </w:r>
    </w:p>
    <w:p w14:paraId="5D2C4F03" w14:textId="77777777" w:rsidR="00F03F25" w:rsidRPr="009E786F" w:rsidRDefault="00F03F25" w:rsidP="00A056C1">
      <w:pPr>
        <w:jc w:val="both"/>
        <w:rPr>
          <w:lang w:val="es-CO" w:eastAsia="es-ES"/>
        </w:rPr>
      </w:pPr>
      <w:r>
        <w:rPr>
          <w:lang w:eastAsia="es-ES"/>
        </w:rPr>
        <w:t xml:space="preserve">El otro método analizado para la selección de variables fue el método TOPSIS, en el cual se busca cuantificar los criterios de decisión, y por medio de las distancias euclidianas hacia la mejor y peor alternativa de los casos posibles, seleccionar la mejor alternativa disponible </w:t>
      </w:r>
      <w:r>
        <w:rPr>
          <w:lang w:eastAsia="es-ES"/>
        </w:rPr>
        <w:fldChar w:fldCharType="begin" w:fldLock="1"/>
      </w:r>
      <w:r>
        <w:rPr>
          <w:lang w:eastAsia="es-ES"/>
        </w:rPr>
        <w:instrText>ADDIN CSL_CITATION {"citationItems":[{"id":"ITEM-1","itemData":{"author":[{"dropping-particle":"","family":"Ching-Lai","given":"Hwang","non-dropping-particle":"","parse-names":false,"suffix":""},{"dropping-particle":"","family":"Kwangsun","given":"Yoon","non-dropping-particle":"","parse-names":false,"suffix":""}],"id":"ITEM-1","issued":{"date-parts":[["1981"]]},"title":"Methods for Multiple Attribute Decision Making","type":"book"},"uris":["http://www.mendeley.com/documents/?uuid=095b7259-1fcb-44d7-8123-31f55e250e13"]}],"mendeley":{"formattedCitation":"(Ching-Lai &amp; Kwangsun, 1981)","plainTextFormattedCitation":"(Ching-Lai &amp; Kwangsun, 1981)","previouslyFormattedCitation":"(Ching-Lai &amp; Kwangsun, 1981)"},"properties":{"noteIndex":0},"schema":"https://github.com/citation-style-language/schema/raw/master/csl-citation.json"}</w:instrText>
      </w:r>
      <w:r>
        <w:rPr>
          <w:lang w:eastAsia="es-ES"/>
        </w:rPr>
        <w:fldChar w:fldCharType="separate"/>
      </w:r>
      <w:r w:rsidRPr="00DD4726">
        <w:rPr>
          <w:noProof/>
          <w:lang w:eastAsia="es-ES"/>
        </w:rPr>
        <w:t>(Ching-Lai &amp; Kwangsun, 1981)</w:t>
      </w:r>
      <w:r>
        <w:rPr>
          <w:lang w:eastAsia="es-ES"/>
        </w:rPr>
        <w:fldChar w:fldCharType="end"/>
      </w:r>
      <w:r>
        <w:rPr>
          <w:lang w:eastAsia="es-ES"/>
        </w:rPr>
        <w:t xml:space="preserve">. Este método también se ha utilizado para evaluar el riesgo de inundación en zonas urbanas, en conjunto con </w:t>
      </w:r>
      <w:r w:rsidRPr="009E786F">
        <w:rPr>
          <w:i/>
          <w:iCs/>
          <w:lang w:eastAsia="es-ES"/>
        </w:rPr>
        <w:t xml:space="preserve">machine </w:t>
      </w:r>
      <w:proofErr w:type="spellStart"/>
      <w:r w:rsidRPr="009E786F">
        <w:rPr>
          <w:i/>
          <w:iCs/>
          <w:lang w:eastAsia="es-ES"/>
        </w:rPr>
        <w:t>learning</w:t>
      </w:r>
      <w:proofErr w:type="spellEnd"/>
      <w:r>
        <w:rPr>
          <w:lang w:eastAsia="es-ES"/>
        </w:rPr>
        <w:t xml:space="preserve"> </w:t>
      </w:r>
      <w:r>
        <w:rPr>
          <w:lang w:eastAsia="es-ES"/>
        </w:rPr>
        <w:fldChar w:fldCharType="begin" w:fldLock="1"/>
      </w:r>
      <w:r>
        <w:rPr>
          <w:lang w:eastAsia="es-ES"/>
        </w:rPr>
        <w:instrText>ADDIN CSL_CITATION {"citationItems":[{"id":"ITEM-1","itemData":{"DOI":"10.1016/j.ijdrr.2021.102614","abstract":"A R T I C L E I N F O Keywords: Urban flooding Hazard Vulnerability TOPSIS Machine learning Artificial intelligence A B S T R A C T With the growth of cities, urban flooding has increasingly become an issue for regional and national governments. The destructive effects of floods are magnified in cities. Accurate models of urban flood susceptibility are required to mitigate this hazard mitigation and build resilience in cities. In this paper, we evaluate flood riskin Jiroft city, Iran, using a combination of machine learning and decision-making methods. Flood hazard maps were created using three state-of-the-art machine learning methods (support vector machine, random forest, and boosted regression tree). The metadata supporting our analysis comprises 218 flood inundation points and a variety of derived factors: slope aspect, elevation, slope angle, rainfall, distance to streets, distance to rivers, land use/land cover, distance to urban drainages, urban drainage density, and curve number. We then employed the TOPSIS decision-making tool for urban flood vulnerability analysis, which is based on socioeconomic factors such as building density, population density, building history, and socioeconomic conditions. Finally, we derived an urban flood risk map for Jiroft based on flood hazard and vulnerability maps. Of the three models tested, the random forest model yielded the most accurate map. The results indicate that urban drainage density and distance to urban drainages are the most important factors in urban flood hazard modeling. As might be expected, areas with a high or very high population density are most vulnerable to flooding. These results show that flood risk mapping provide insights for priority planning in flood risk management, especially in areas with limited hydrological data.","author":[{"dropping-particle":"","family":"Rafiei-Sardooi","given":"Elham","non-dropping-particle":"","parse-names":false,"suffix":""},{"dropping-particle":"","family":"Azareh","given":"Ali","non-dropping-particle":"","parse-names":false,"suffix":""},{"dropping-particle":"","family":"Choubin","given":"Bahram","non-dropping-particle":"","parse-names":false,"suffix":""},{"dropping-particle":"","family":"Mosavi","given":"Amir H","non-dropping-particle":"","parse-names":false,"suffix":""},{"dropping-particle":"","family":"Clague","given":"John J","non-dropping-particle":"","parse-names":false,"suffix":""}],"container-title":"International Journal of Disaster Risk Reduction","id":"ITEM-1","issued":{"date-parts":[["2021"]]},"page":"2212-4209","title":"Evaluating urban flood risk using hybrid method of TOPSIS and machine learning","type":"article-journal","volume":"66"},"uris":["http://www.mendeley.com/documents/?uuid=18b11bc3-1fba-3e68-b49f-31e21470249a"]}],"mendeley":{"formattedCitation":"(Rafiei-Sardooi, Azareh, Choubin, Mosavi, &amp; Clague, 2021)","plainTextFormattedCitation":"(Rafiei-Sardooi, Azareh, Choubin, Mosavi, &amp; Clague, 2021)","previouslyFormattedCitation":"(Rafiei-Sardooi, Azareh, Choubin, Mosavi, &amp; Clague, 2021)"},"properties":{"noteIndex":0},"schema":"https://github.com/citation-style-language/schema/raw/master/csl-citation.json"}</w:instrText>
      </w:r>
      <w:r>
        <w:rPr>
          <w:lang w:eastAsia="es-ES"/>
        </w:rPr>
        <w:fldChar w:fldCharType="separate"/>
      </w:r>
      <w:r w:rsidRPr="00A4543F">
        <w:rPr>
          <w:noProof/>
          <w:lang w:eastAsia="es-ES"/>
        </w:rPr>
        <w:t>(Rafiei-Sardooi, Azareh, Choubin, Mosavi, &amp; Clague, 2021)</w:t>
      </w:r>
      <w:r>
        <w:rPr>
          <w:lang w:eastAsia="es-ES"/>
        </w:rPr>
        <w:fldChar w:fldCharType="end"/>
      </w:r>
      <w:r>
        <w:rPr>
          <w:lang w:eastAsia="es-ES"/>
        </w:rPr>
        <w:t xml:space="preserve">. Se ha utilizado, para gestionar el riesgo ecológico que corre la cuenca hidrográfica del río Wei en China </w:t>
      </w:r>
      <w:r>
        <w:rPr>
          <w:lang w:eastAsia="es-ES"/>
        </w:rPr>
        <w:fldChar w:fldCharType="begin" w:fldLock="1"/>
      </w:r>
      <w:r>
        <w:rPr>
          <w:lang w:eastAsia="es-ES"/>
        </w:rPr>
        <w:instrText>ADDIN CSL_CITATION {"citationItems":[{"id":"ITEM-1","itemData":{"DOI":"10.1016/j.scitotenv.2020.137502","author":[{"dropping-particle":"","family":"Yang","given":"Tao","non-dropping-particle":"","parse-names":false,"suffix":""},{"dropping-particle":"","family":"Zhang","given":"Qian","non-dropping-particle":"","parse-names":false,"suffix":""},{"dropping-particle":"","family":"Wan","given":"Xuhao","non-dropping-particle":"","parse-names":false,"suffix":""},{"dropping-particle":"","family":"Li","given":"Xiaoping","non-dropping-particle":"","parse-names":false,"suffix":""},{"dropping-particle":"","family":"Wang","given":"Yiyan","non-dropping-particle":"","parse-names":false,"suffix":""},{"dropping-particle":"","family":"Wang","given":"Wei","non-dropping-particle":"","parse-names":false,"suffix":""}],"id":"ITEM-1","issued":{"date-parts":[["2020"]]},"title":"Comprehensive ecological risk assessment for semi-arid basin based on conceptual model of risk response and improved TOPSIS model-a case study of Wei River Basin, China","type":"article-journal"},"uris":["http://www.mendeley.com/documents/?uuid=e9a28147-05a2-3a07-8dd6-acc6eae8e26c"]}],"mendeley":{"formattedCitation":"(Yang et al., 2020)","plainTextFormattedCitation":"(Yang et al., 2020)","previouslyFormattedCitation":"(Yang et al., 2020)"},"properties":{"noteIndex":0},"schema":"https://github.com/citation-style-language/schema/raw/master/csl-citation.json"}</w:instrText>
      </w:r>
      <w:r>
        <w:rPr>
          <w:lang w:eastAsia="es-ES"/>
        </w:rPr>
        <w:fldChar w:fldCharType="separate"/>
      </w:r>
      <w:r w:rsidRPr="00A4543F">
        <w:rPr>
          <w:noProof/>
          <w:lang w:eastAsia="es-ES"/>
        </w:rPr>
        <w:t>(Yang et al., 2020)</w:t>
      </w:r>
      <w:r>
        <w:rPr>
          <w:lang w:eastAsia="es-ES"/>
        </w:rPr>
        <w:fldChar w:fldCharType="end"/>
      </w:r>
      <w:r>
        <w:rPr>
          <w:lang w:eastAsia="es-ES"/>
        </w:rPr>
        <w:t xml:space="preserve">. En otro estudio, </w:t>
      </w:r>
      <w:r>
        <w:rPr>
          <w:lang w:eastAsia="es-ES"/>
        </w:rPr>
        <w:fldChar w:fldCharType="begin" w:fldLock="1"/>
      </w:r>
      <w:r>
        <w:rPr>
          <w:lang w:eastAsia="es-ES"/>
        </w:rPr>
        <w:instrText>ADDIN CSL_CITATION {"citationItems":[{"id":"ITEM-1","itemData":{"author":[{"dropping-particle":"","family":"Abdulfatah","given":"Abdu Yusuf","non-dropping-particle":"","parse-names":false,"suffix":""},{"dropping-particle":"","family":"Jeffrey Dankwa","given":"Ampah","non-dropping-particle":"","parse-names":false,"suffix":""},{"dropping-particle":"","family":"Manzoore Elahi","given":"M. Soudagar","non-dropping-particle":"","parse-names":false,"suffix":""},{"dropping-particle":"","family":"Ibham","given":"Veza","non-dropping-particle":"","parse-names":false,"suffix":""},{"dropping-particle":"","family":"Ukoba","given":"Kingsley","non-dropping-particle":"","parse-names":false,"suffix":""},{"dropping-particle":"","family":"Sandylove","given":"Afrane","non-dropping-particle":"","parse-names":false,"suffix":""},{"dropping-particle":"","family":"LastName","given":"Chao Jin","non-dropping-particle":"","parse-names":false,"suffix":""},{"dropping-particle":"","family":"Haifeng","given":"Liu","non-dropping-particle":"","parse-names":false,"suffix":""},{"dropping-particle":"","family":"Ashraf","given":"Elfasakhany","non-dropping-particle":"","parse-names":false,"suffix":""},{"dropping-particle":"","family":"Kasumba","given":"A. Buyondo","non-dropping-particle":"","parse-names":false,"suffix":""}],"id":"ITEM-1","issued":{"date-parts":[["2022"]]},"title":"Effects of hybrid nanoparticle additives in n-butanol/waste plastic oil/ diesel blends on combustion, particulate and gaseous emissions from diesel engine evaluated with entropy-weighted PROMETHEE II and TOPSIS: Environmental and health risks of plastic w","type":"article-journal"},"uris":["http://www.mendeley.com/documents/?uuid=3e5a09d2-78fa-30f6-838e-82435752b2f2"]}],"mendeley":{"formattedCitation":"(Abdulfatah et al., 2022)","manualFormatting":"Abdulfatah et al. (2022)","plainTextFormattedCitation":"(Abdulfatah et al., 2022)","previouslyFormattedCitation":"(Abdulfatah et al., 2022)"},"properties":{"noteIndex":0},"schema":"https://github.com/citation-style-language/schema/raw/master/csl-citation.json"}</w:instrText>
      </w:r>
      <w:r>
        <w:rPr>
          <w:lang w:eastAsia="es-ES"/>
        </w:rPr>
        <w:fldChar w:fldCharType="separate"/>
      </w:r>
      <w:r w:rsidRPr="0017302D">
        <w:rPr>
          <w:noProof/>
          <w:lang w:eastAsia="es-ES"/>
        </w:rPr>
        <w:t xml:space="preserve">Abdulfatah et al. </w:t>
      </w:r>
      <w:r>
        <w:rPr>
          <w:noProof/>
          <w:lang w:eastAsia="es-ES"/>
        </w:rPr>
        <w:t>(</w:t>
      </w:r>
      <w:r w:rsidRPr="0017302D">
        <w:rPr>
          <w:noProof/>
          <w:lang w:eastAsia="es-ES"/>
        </w:rPr>
        <w:t>2022)</w:t>
      </w:r>
      <w:r>
        <w:rPr>
          <w:lang w:eastAsia="es-ES"/>
        </w:rPr>
        <w:fldChar w:fldCharType="end"/>
      </w:r>
      <w:r>
        <w:rPr>
          <w:lang w:eastAsia="es-ES"/>
        </w:rPr>
        <w:t xml:space="preserve"> analiza los riesgos ambientales de los aditivos de nanopartículas en las mezclas de distintas formas de hidrocarburos. </w:t>
      </w:r>
    </w:p>
    <w:p w14:paraId="07E018BC" w14:textId="74F4D049" w:rsidR="00F03F25" w:rsidRPr="00E0372D" w:rsidRDefault="00F03F25" w:rsidP="00A056C1">
      <w:pPr>
        <w:jc w:val="both"/>
        <w:rPr>
          <w:lang w:val="es-CO" w:eastAsia="es-ES"/>
        </w:rPr>
      </w:pPr>
      <w:r w:rsidRPr="009E786F">
        <w:rPr>
          <w:lang w:val="es-CO" w:eastAsia="es-ES"/>
        </w:rPr>
        <w:t xml:space="preserve">De igual forma </w:t>
      </w:r>
      <w:r>
        <w:rPr>
          <w:lang w:val="en-US" w:eastAsia="es-ES"/>
        </w:rPr>
        <w:fldChar w:fldCharType="begin" w:fldLock="1"/>
      </w:r>
      <w:r w:rsidR="004D7984">
        <w:rPr>
          <w:lang w:val="es-CO" w:eastAsia="es-ES"/>
        </w:rPr>
        <w:instrText>ADDIN CSL_CITATION {"citationItems":[{"id":"ITEM-1","itemData":{"DOI":"10.1016/j.eswa.2012.08.013","abstract":"This study develops a framework to quantify the flood risk vulnerability in South Korea by considering climate change impacts. On the basis of the concept of exposure-sensitivity-adaptive capacity, 21 proxy variables are selected and screened, and their weights are determined for their objectivity by using the Delphi technique. The data from 16 provinces of South Korea and the weighting values of all proxy variables are fuzzified to consider uncertainty. In addition, the National Center for Atmosphere Research Community Climate System Model 3 (CCSM3) in conjunction with the Intergovernmental Panel on Climate Change (IPCC) Special Report on Emission Scenario (SRES) A1B, A2, B1, A1T, A1FI, and B2 are used for future climate data (2020s, 2050s, and 2080s). Therefore, 19 flood risk vulnerabilities of South Korea, including present conditions, are quantitatively evaluated and compared. Three Multi-Criteria Decision Making (MCDM) techniques-Weighted Sum Method (WSM), Technique for Order Preference by Similarity to Ideal Situation (TOPSIS), and fuzzy TOPSIS-are used to quantify all spatial vulnerabilities. As a result, some fuzzy TOPSIS rankings are quite different to those of WSM and TOPSIS, and the ranking patterns of the 19 climate change scenarios are also derived in a dissimilar way. In addition, if the variances of the provinces' rankings are considered, some provinces showing low values can plan their climate change adaptation strategies by taking into consideration their relatively certain rankings. In the end, the vulnerability assessment for climate change should consider not only various MCDM techniques but also the uncertainty of weighting values and proxy variable data.","author":[{"dropping-particle":"","family":"Jun","given":"Kyung-Soo","non-dropping-particle":"","parse-names":false,"suffix":""},{"dropping-particle":"","family":"Chung","given":"Eun-Sung","non-dropping-particle":"","parse-names":false,"suffix":""},{"dropping-particle":"","family":"Kim","given":"Young-Gyu","non-dropping-particle":"","parse-names":false,"suffix":""},{"dropping-particle":"","family":"Kim","given":"Yeonjoo","non-dropping-particle":"","parse-names":false,"suffix":""}],"id":"ITEM-1","issued":{"date-parts":[["0"]]},"title":"A fuzzy multi-criteria approach to flood risk vulnerability in South Korea by considering climate change impacts","type":"article-journal"},"uris":["http://www.mendeley.com/documents/?uuid=f7b5fd49-eda5-3703-8934-20f7b707e5b4"]}],"mendeley":{"formattedCitation":"(K.-S. Jun et al., n.d.)","manualFormatting":"K.-S. Jun, Chung, Kim, &amp; Kim (n.d.)","plainTextFormattedCitation":"(K.-S. Jun et al., n.d.)","previouslyFormattedCitation":"(K.-S. Jun et al., n.d.)"},"properties":{"noteIndex":0},"schema":"https://github.com/citation-style-language/schema/raw/master/csl-citation.json"}</w:instrText>
      </w:r>
      <w:r>
        <w:rPr>
          <w:lang w:val="en-US" w:eastAsia="es-ES"/>
        </w:rPr>
        <w:fldChar w:fldCharType="separate"/>
      </w:r>
      <w:r w:rsidRPr="009E786F">
        <w:rPr>
          <w:noProof/>
          <w:lang w:val="es-CO" w:eastAsia="es-ES"/>
        </w:rPr>
        <w:t>K.-S. Jun, Chung, Kim, &amp; Kim (n.d.)</w:t>
      </w:r>
      <w:r>
        <w:rPr>
          <w:lang w:val="en-US" w:eastAsia="es-ES"/>
        </w:rPr>
        <w:fldChar w:fldCharType="end"/>
      </w:r>
      <w:r>
        <w:rPr>
          <w:lang w:val="es-CO" w:eastAsia="es-ES"/>
        </w:rPr>
        <w:t xml:space="preserve"> utilizaron la metodología TOPSIS en combinación con lógica borrosa logrando de esta manera mirar el riesgo de inundación en Corea del Sur considerando el impacto del cambio climático.</w:t>
      </w:r>
      <w:r w:rsidR="0068615D">
        <w:rPr>
          <w:lang w:val="es-CO" w:eastAsia="es-ES"/>
        </w:rPr>
        <w:t xml:space="preserve"> Aunque tanto ELECTRE como TOPSIS son métodos clásicos para toma de decisiones, y se recomienda usarlos como base para análisis de </w:t>
      </w:r>
      <w:r w:rsidR="0068615D">
        <w:rPr>
          <w:lang w:val="es-CO" w:eastAsia="es-ES"/>
        </w:rPr>
        <w:lastRenderedPageBreak/>
        <w:t xml:space="preserve">toma de decisiones </w:t>
      </w:r>
      <w:r w:rsidR="0068615D">
        <w:rPr>
          <w:lang w:val="es-CO" w:eastAsia="es-ES"/>
        </w:rPr>
        <w:fldChar w:fldCharType="begin" w:fldLock="1"/>
      </w:r>
      <w:r w:rsidR="0068615D">
        <w:rPr>
          <w:lang w:val="es-CO" w:eastAsia="es-ES"/>
        </w:rPr>
        <w:instrText>ADDIN CSL_CITATION {"citationItems":[{"id":"ITEM-1","itemData":{"author":[{"dropping-particle":"V.","family":"Demidovskij","given":"Alexander","non-dropping-particle":"","parse-names":false,"suffix":""}],"id":"ITEM-1","issued":{"date-parts":[["2019"]]},"title":"Comparative Analysis of MADM Approaches: ELECTRE, TOPSIS and Multi-level LDM Methodology","type":"article-journal"},"uris":["http://www.mendeley.com/documents/?uuid=3bf653fe-a7f8-411c-b7e2-d4982c643b44"]}],"mendeley":{"formattedCitation":"(Demidovskij, 2019)","plainTextFormattedCitation":"(Demidovskij, 2019)","previouslyFormattedCitation":"(Demidovskij, 2019)"},"properties":{"noteIndex":0},"schema":"https://github.com/citation-style-language/schema/raw/master/csl-citation.json"}</w:instrText>
      </w:r>
      <w:r w:rsidR="0068615D">
        <w:rPr>
          <w:lang w:val="es-CO" w:eastAsia="es-ES"/>
        </w:rPr>
        <w:fldChar w:fldCharType="separate"/>
      </w:r>
      <w:r w:rsidR="0068615D" w:rsidRPr="0068615D">
        <w:rPr>
          <w:noProof/>
          <w:lang w:val="es-CO" w:eastAsia="es-ES"/>
        </w:rPr>
        <w:t>(Demidovskij, 2019)</w:t>
      </w:r>
      <w:r w:rsidR="0068615D">
        <w:rPr>
          <w:lang w:val="es-CO" w:eastAsia="es-ES"/>
        </w:rPr>
        <w:fldChar w:fldCharType="end"/>
      </w:r>
      <w:r w:rsidR="0068615D">
        <w:rPr>
          <w:lang w:val="es-CO" w:eastAsia="es-ES"/>
        </w:rPr>
        <w:t xml:space="preserve">, </w:t>
      </w:r>
      <w:r>
        <w:rPr>
          <w:lang w:val="es-CO" w:eastAsia="es-ES"/>
        </w:rPr>
        <w:t xml:space="preserve"> Según el estudio de Chung .et al</w:t>
      </w:r>
      <w:r w:rsidR="004E4743">
        <w:rPr>
          <w:lang w:val="es-CO" w:eastAsia="es-ES"/>
        </w:rPr>
        <w:t xml:space="preserve"> (2012)</w:t>
      </w:r>
      <w:r>
        <w:rPr>
          <w:lang w:val="es-CO" w:eastAsia="es-ES"/>
        </w:rPr>
        <w:t>, el uso de TOPSIS presenta cuatro ventajas incuestionables: un proceso de lógica que representa la elección racional humana, un valor escalar que representa tanto el mejor como el peor escenario, una metodología relativamente fácil de utilizar y entender, y una naturaleza que permite representar fácilmente las opciones en un plano de dos dimensiones</w:t>
      </w:r>
      <w:r w:rsidR="001F57C8">
        <w:rPr>
          <w:lang w:val="es-CO" w:eastAsia="es-ES"/>
        </w:rPr>
        <w:t xml:space="preserve"> </w:t>
      </w:r>
      <w:r w:rsidR="001F57C8">
        <w:rPr>
          <w:lang w:val="es-CO" w:eastAsia="es-ES"/>
        </w:rPr>
        <w:fldChar w:fldCharType="begin" w:fldLock="1"/>
      </w:r>
      <w:r w:rsidR="0068615D">
        <w:rPr>
          <w:lang w:val="es-CO" w:eastAsia="es-ES"/>
        </w:rPr>
        <w:instrText>ADDIN CSL_CITATION {"citationItems":[{"id":"ITEM-1","itemData":{"DOI":"10.1016/j.energy.2020.117675","abstract":"Selection of the most appropriate waste-to-energy technologies for distributed electricity generation is a complex and multi-criteria decision problem as it involves trade-off among conflicting criteria which have to be considered simultaneously. In this study, the Technique for Order of Preference by Similarity to an Ideal Solution (TOPSIS) with Entropy Weighted method is applied to select the optimal technology among the waste-to-energy technological options using the waste stream of Lagos, Nigeria. The results presented show that anaerobic digestion has been the best waste to energy technology solution for electricity generation in Lagos, followed by pyrolysis while incineration is seen as the worst preferred option of choice for energy generation applicability in standalone model. In order to maximally extract energy from waste in a sustainable, economical, and environmentally friendly manner, an integrated application of waste-to-energy technologies is also explored. It is found that the hybrid of anaerobic digestion, landfill gas recovery and pyrolysis give the most favourable results in terms of environmental benefits and electricity generation potential. It is also revealed that incineration technology either in the standalone or in the hybrid form is completely discouraged from being implemented in Lagos basically due to its high investment, operation and maintenance costs as well as its discouraging environmental image. Although, the case study in this paper is that of Lagos, Nigeria but the methodology presented could be used for any cosmopolitan city around the world.","author":[{"dropping-particle":"","family":"Alao","given":"M A","non-dropping-particle":"","parse-names":false,"suffix":""},{"dropping-particle":"","family":"Ayodele","given":"T R","non-dropping-particle":"","parse-names":false,"suffix":""},{"dropping-particle":"","family":"Ogunjuyigbe","given":"A S O","non-dropping-particle":"","parse-names":false,"suffix":""},{"dropping-particle":"","family":"Popoola","given":"O M","non-dropping-particle":"","parse-names":false,"suffix":""}],"id":"ITEM-1","issued":{"date-parts":[["2020"]]},"title":"Multi-criteria decision based waste to energy technology selection using entropy-weighted TOPSIS technique: The case study of Lagos, Nigeria","type":"article-journal"},"uris":["http://www.mendeley.com/documents/?uuid=9989dc44-1023-3cde-a16b-59a941281f70"]}],"mendeley":{"formattedCitation":"(Alao et al., 2020)","plainTextFormattedCitation":"(Alao et al., 2020)","previouslyFormattedCitation":"(Alao et al., 2020)"},"properties":{"noteIndex":0},"schema":"https://github.com/citation-style-language/schema/raw/master/csl-citation.json"}</w:instrText>
      </w:r>
      <w:r w:rsidR="001F57C8">
        <w:rPr>
          <w:lang w:val="es-CO" w:eastAsia="es-ES"/>
        </w:rPr>
        <w:fldChar w:fldCharType="separate"/>
      </w:r>
      <w:r w:rsidR="001F57C8" w:rsidRPr="001F57C8">
        <w:rPr>
          <w:noProof/>
          <w:lang w:val="es-CO" w:eastAsia="es-ES"/>
        </w:rPr>
        <w:t>(Alao et al., 2020)</w:t>
      </w:r>
      <w:r w:rsidR="001F57C8">
        <w:rPr>
          <w:lang w:val="es-CO" w:eastAsia="es-ES"/>
        </w:rPr>
        <w:fldChar w:fldCharType="end"/>
      </w:r>
      <w:r>
        <w:rPr>
          <w:lang w:val="es-CO" w:eastAsia="es-ES"/>
        </w:rPr>
        <w:t xml:space="preserve">. </w:t>
      </w:r>
    </w:p>
    <w:p w14:paraId="4EE5FD8B" w14:textId="77777777" w:rsidR="001E62C9" w:rsidRDefault="005A45F6" w:rsidP="005648DA">
      <w:pPr>
        <w:pStyle w:val="Ttulo1"/>
      </w:pPr>
      <w:bookmarkStart w:id="19" w:name="_Toc149994747"/>
      <w:r>
        <w:lastRenderedPageBreak/>
        <w:t>Metodologí</w:t>
      </w:r>
      <w:r w:rsidRPr="005648DA">
        <w:t>a</w:t>
      </w:r>
      <w:bookmarkEnd w:id="19"/>
      <w:r w:rsidRPr="005648DA">
        <w:t xml:space="preserve"> </w:t>
      </w:r>
    </w:p>
    <w:p w14:paraId="21EF3A22" w14:textId="4416CCF0"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El presente trabajo consta de cuatro objetivos específicos, a través de los cuales se llegará a completar el objetivo general de crear un modelo computacional que permita la clasificación de riesgos climáticos de transición en una matriz de riesgos, según la </w:t>
      </w:r>
      <w:r w:rsidR="00105B98">
        <w:rPr>
          <w:rFonts w:cs="Arial"/>
          <w:i w:val="0"/>
          <w:iCs/>
          <w:color w:val="auto"/>
          <w:sz w:val="24"/>
          <w:szCs w:val="22"/>
        </w:rPr>
        <w:t>probabilidad de ocurrencia</w:t>
      </w:r>
      <w:r w:rsidR="00105B98" w:rsidRPr="00F55522">
        <w:rPr>
          <w:rFonts w:cs="Arial"/>
          <w:i w:val="0"/>
          <w:iCs/>
          <w:color w:val="auto"/>
          <w:sz w:val="24"/>
          <w:szCs w:val="22"/>
        </w:rPr>
        <w:t xml:space="preserve"> </w:t>
      </w:r>
      <w:r w:rsidRPr="00F55522">
        <w:rPr>
          <w:rFonts w:cs="Arial"/>
          <w:i w:val="0"/>
          <w:iCs/>
          <w:color w:val="auto"/>
          <w:sz w:val="24"/>
          <w:szCs w:val="22"/>
        </w:rPr>
        <w:t xml:space="preserve">y </w:t>
      </w:r>
      <w:r w:rsidR="00105B98">
        <w:rPr>
          <w:rFonts w:cs="Arial"/>
          <w:i w:val="0"/>
          <w:iCs/>
          <w:color w:val="auto"/>
          <w:sz w:val="24"/>
          <w:szCs w:val="22"/>
        </w:rPr>
        <w:t>impacto</w:t>
      </w:r>
      <w:r w:rsidR="00105B98" w:rsidRPr="00F55522">
        <w:rPr>
          <w:rFonts w:cs="Arial"/>
          <w:i w:val="0"/>
          <w:iCs/>
          <w:color w:val="auto"/>
          <w:sz w:val="24"/>
          <w:szCs w:val="22"/>
        </w:rPr>
        <w:t xml:space="preserve"> </w:t>
      </w:r>
      <w:r w:rsidRPr="00F55522">
        <w:rPr>
          <w:rFonts w:cs="Arial"/>
          <w:i w:val="0"/>
          <w:iCs/>
          <w:color w:val="auto"/>
          <w:sz w:val="24"/>
          <w:szCs w:val="22"/>
        </w:rPr>
        <w:t xml:space="preserve">de dichas variables. </w:t>
      </w:r>
      <w:r w:rsidR="00105B98">
        <w:rPr>
          <w:rFonts w:cs="Arial"/>
          <w:i w:val="0"/>
          <w:iCs/>
          <w:color w:val="auto"/>
          <w:sz w:val="24"/>
          <w:szCs w:val="22"/>
        </w:rPr>
        <w:t>A continuación, se describen cada una de las etapas para cumplir dicho propósito:</w:t>
      </w:r>
    </w:p>
    <w:p w14:paraId="7195F547" w14:textId="77777777" w:rsidR="00D524D0" w:rsidRPr="00F55522" w:rsidRDefault="00D524D0" w:rsidP="00A056C1">
      <w:pPr>
        <w:pStyle w:val="Ttulo2"/>
        <w:jc w:val="both"/>
      </w:pPr>
      <w:bookmarkStart w:id="20" w:name="_Toc149994748"/>
      <w:r w:rsidRPr="00F55522">
        <w:t>Identificación de variables</w:t>
      </w:r>
      <w:bookmarkEnd w:id="20"/>
    </w:p>
    <w:p w14:paraId="20EF9736" w14:textId="14D46A17"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Con el fin de lograr el primero objetivo, de identificar los riesgos climáticos de transición </w:t>
      </w:r>
      <w:r w:rsidR="00105B98">
        <w:rPr>
          <w:rFonts w:cs="Arial"/>
          <w:i w:val="0"/>
          <w:iCs/>
          <w:color w:val="auto"/>
          <w:sz w:val="24"/>
          <w:szCs w:val="22"/>
        </w:rPr>
        <w:t>que pueden afectar a una organización</w:t>
      </w:r>
      <w:r w:rsidRPr="00F55522">
        <w:rPr>
          <w:rFonts w:cs="Arial"/>
          <w:i w:val="0"/>
          <w:iCs/>
          <w:color w:val="auto"/>
          <w:sz w:val="24"/>
          <w:szCs w:val="22"/>
        </w:rPr>
        <w:t>, se llev</w:t>
      </w:r>
      <w:r w:rsidR="004F5616">
        <w:rPr>
          <w:rFonts w:cs="Arial"/>
          <w:i w:val="0"/>
          <w:iCs/>
          <w:color w:val="auto"/>
          <w:sz w:val="24"/>
          <w:szCs w:val="22"/>
        </w:rPr>
        <w:t>ó</w:t>
      </w:r>
      <w:r w:rsidRPr="00F55522">
        <w:rPr>
          <w:rFonts w:cs="Arial"/>
          <w:i w:val="0"/>
          <w:iCs/>
          <w:color w:val="auto"/>
          <w:sz w:val="24"/>
          <w:szCs w:val="22"/>
        </w:rPr>
        <w:t xml:space="preserve"> a cabo una </w:t>
      </w:r>
      <w:r w:rsidR="004F5616">
        <w:rPr>
          <w:rFonts w:cs="Arial"/>
          <w:i w:val="0"/>
          <w:iCs/>
          <w:color w:val="auto"/>
          <w:sz w:val="24"/>
          <w:szCs w:val="22"/>
        </w:rPr>
        <w:t>revisión</w:t>
      </w:r>
      <w:r w:rsidR="004F5616" w:rsidRPr="00F55522">
        <w:rPr>
          <w:rFonts w:cs="Arial"/>
          <w:i w:val="0"/>
          <w:iCs/>
          <w:color w:val="auto"/>
          <w:sz w:val="24"/>
          <w:szCs w:val="22"/>
        </w:rPr>
        <w:t xml:space="preserve"> </w:t>
      </w:r>
      <w:r w:rsidRPr="00F55522">
        <w:rPr>
          <w:rFonts w:cs="Arial"/>
          <w:i w:val="0"/>
          <w:iCs/>
          <w:color w:val="auto"/>
          <w:sz w:val="24"/>
          <w:szCs w:val="22"/>
        </w:rPr>
        <w:t>de</w:t>
      </w:r>
      <w:r w:rsidR="00105B98">
        <w:rPr>
          <w:rFonts w:cs="Arial"/>
          <w:i w:val="0"/>
          <w:iCs/>
          <w:color w:val="auto"/>
          <w:sz w:val="24"/>
          <w:szCs w:val="22"/>
        </w:rPr>
        <w:t xml:space="preserve"> la</w:t>
      </w:r>
      <w:r w:rsidRPr="00F55522">
        <w:rPr>
          <w:rFonts w:cs="Arial"/>
          <w:i w:val="0"/>
          <w:iCs/>
          <w:color w:val="auto"/>
          <w:sz w:val="24"/>
          <w:szCs w:val="22"/>
        </w:rPr>
        <w:t xml:space="preserve"> literatura, en la cual se preseleccionar</w:t>
      </w:r>
      <w:r w:rsidR="004F5616">
        <w:rPr>
          <w:rFonts w:cs="Arial"/>
          <w:i w:val="0"/>
          <w:iCs/>
          <w:color w:val="auto"/>
          <w:sz w:val="24"/>
          <w:szCs w:val="22"/>
        </w:rPr>
        <w:t>on</w:t>
      </w:r>
      <w:r w:rsidRPr="00F55522">
        <w:rPr>
          <w:rFonts w:cs="Arial"/>
          <w:i w:val="0"/>
          <w:iCs/>
          <w:color w:val="auto"/>
          <w:sz w:val="24"/>
          <w:szCs w:val="22"/>
        </w:rPr>
        <w:t xml:space="preserve"> algunas variables que demuestr</w:t>
      </w:r>
      <w:r w:rsidR="004F5616">
        <w:rPr>
          <w:rFonts w:cs="Arial"/>
          <w:i w:val="0"/>
          <w:iCs/>
          <w:color w:val="auto"/>
          <w:sz w:val="24"/>
          <w:szCs w:val="22"/>
        </w:rPr>
        <w:t>a</w:t>
      </w:r>
      <w:r w:rsidRPr="00F55522">
        <w:rPr>
          <w:rFonts w:cs="Arial"/>
          <w:i w:val="0"/>
          <w:iCs/>
          <w:color w:val="auto"/>
          <w:sz w:val="24"/>
          <w:szCs w:val="22"/>
        </w:rPr>
        <w:t xml:space="preserve">n tener cierta relevancia e incidencia sobre el sector empresarial. Cabe resaltar que </w:t>
      </w:r>
      <w:r w:rsidR="003C361C">
        <w:rPr>
          <w:rFonts w:cs="Arial"/>
          <w:i w:val="0"/>
          <w:iCs/>
          <w:color w:val="auto"/>
          <w:sz w:val="24"/>
          <w:szCs w:val="22"/>
        </w:rPr>
        <w:t>fue</w:t>
      </w:r>
      <w:r w:rsidRPr="00F55522">
        <w:rPr>
          <w:rFonts w:cs="Arial"/>
          <w:i w:val="0"/>
          <w:iCs/>
          <w:color w:val="auto"/>
          <w:sz w:val="24"/>
          <w:szCs w:val="22"/>
        </w:rPr>
        <w:t xml:space="preserve"> de gran ayuda la elaboración de una plantilla en donde se </w:t>
      </w:r>
      <w:r w:rsidR="003C361C">
        <w:rPr>
          <w:rFonts w:cs="Arial"/>
          <w:i w:val="0"/>
          <w:iCs/>
          <w:color w:val="auto"/>
          <w:sz w:val="24"/>
          <w:szCs w:val="22"/>
        </w:rPr>
        <w:t>dispusieron</w:t>
      </w:r>
      <w:r w:rsidRPr="00F55522">
        <w:rPr>
          <w:rFonts w:cs="Arial"/>
          <w:i w:val="0"/>
          <w:iCs/>
          <w:color w:val="auto"/>
          <w:sz w:val="24"/>
          <w:szCs w:val="22"/>
        </w:rPr>
        <w:t xml:space="preserve"> las variables, tanto para documentar como para distinguir y categorizar las variables encontradas.</w:t>
      </w:r>
    </w:p>
    <w:p w14:paraId="2288B42E" w14:textId="4E0B590A"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Luego, se seleccionar</w:t>
      </w:r>
      <w:r w:rsidR="003C361C">
        <w:rPr>
          <w:rFonts w:cs="Arial"/>
          <w:i w:val="0"/>
          <w:iCs/>
          <w:color w:val="auto"/>
          <w:sz w:val="24"/>
          <w:szCs w:val="22"/>
        </w:rPr>
        <w:t>on</w:t>
      </w:r>
      <w:r w:rsidRPr="00F55522">
        <w:rPr>
          <w:rFonts w:cs="Arial"/>
          <w:i w:val="0"/>
          <w:iCs/>
          <w:color w:val="auto"/>
          <w:sz w:val="24"/>
          <w:szCs w:val="22"/>
        </w:rPr>
        <w:t xml:space="preserve"> entre las preseleccionadas, las que </w:t>
      </w:r>
      <w:r w:rsidR="003C361C">
        <w:rPr>
          <w:rFonts w:cs="Arial"/>
          <w:i w:val="0"/>
          <w:iCs/>
          <w:color w:val="auto"/>
          <w:sz w:val="24"/>
          <w:szCs w:val="22"/>
        </w:rPr>
        <w:t>fueron</w:t>
      </w:r>
      <w:r w:rsidRPr="00F55522">
        <w:rPr>
          <w:rFonts w:cs="Arial"/>
          <w:i w:val="0"/>
          <w:iCs/>
          <w:color w:val="auto"/>
          <w:sz w:val="24"/>
          <w:szCs w:val="22"/>
        </w:rPr>
        <w:t xml:space="preserve"> las variables para utilizar en la consecución de este objetivo. </w:t>
      </w:r>
      <w:r w:rsidR="004C1500">
        <w:rPr>
          <w:rFonts w:cs="Arial"/>
          <w:i w:val="0"/>
          <w:iCs/>
          <w:color w:val="auto"/>
          <w:sz w:val="24"/>
          <w:szCs w:val="22"/>
        </w:rPr>
        <w:t>Fue</w:t>
      </w:r>
      <w:r w:rsidR="004C1500" w:rsidRPr="00F55522">
        <w:rPr>
          <w:rFonts w:cs="Arial"/>
          <w:i w:val="0"/>
          <w:iCs/>
          <w:color w:val="auto"/>
          <w:sz w:val="24"/>
          <w:szCs w:val="22"/>
        </w:rPr>
        <w:t xml:space="preserve"> </w:t>
      </w:r>
      <w:r w:rsidRPr="00F55522">
        <w:rPr>
          <w:rFonts w:cs="Arial"/>
          <w:i w:val="0"/>
          <w:iCs/>
          <w:color w:val="auto"/>
          <w:sz w:val="24"/>
          <w:szCs w:val="22"/>
        </w:rPr>
        <w:t>importante en este aspecto encontrar en la literatura instrumentos que ayud</w:t>
      </w:r>
      <w:r w:rsidR="003C361C">
        <w:rPr>
          <w:rFonts w:cs="Arial"/>
          <w:i w:val="0"/>
          <w:iCs/>
          <w:color w:val="auto"/>
          <w:sz w:val="24"/>
          <w:szCs w:val="22"/>
        </w:rPr>
        <w:t>aron</w:t>
      </w:r>
      <w:r w:rsidRPr="00F55522">
        <w:rPr>
          <w:rFonts w:cs="Arial"/>
          <w:i w:val="0"/>
          <w:iCs/>
          <w:color w:val="auto"/>
          <w:sz w:val="24"/>
          <w:szCs w:val="22"/>
        </w:rPr>
        <w:t xml:space="preserve"> a recolectar la información para la selección </w:t>
      </w:r>
      <w:r w:rsidRPr="00F55522">
        <w:rPr>
          <w:rFonts w:cs="Arial"/>
          <w:i w:val="0"/>
          <w:iCs/>
          <w:color w:val="auto"/>
          <w:sz w:val="24"/>
          <w:szCs w:val="22"/>
        </w:rPr>
        <w:fldChar w:fldCharType="begin" w:fldLock="1"/>
      </w:r>
      <w:r w:rsidR="00586500" w:rsidRPr="00F55522">
        <w:rPr>
          <w:rFonts w:cs="Arial"/>
          <w:i w:val="0"/>
          <w:iCs/>
          <w:color w:val="auto"/>
          <w:sz w:val="24"/>
          <w:szCs w:val="22"/>
        </w:rPr>
        <w:instrText>ADDIN CSL_CITATION {"citationItems":[{"id":"ITEM-1","itemData":{"DOI":"10.1016/0032-3861(78)90049-6","ISSN":"00323861","author":[{"dropping-particle":"","family":"Escobar-Pérez","given":"Jazmine","non-dropping-particle":"","parse-names":false,"suffix":""},{"dropping-particle":"","family":"Cuervo-Martínez","given":"Ángela","non-dropping-particle":"","parse-names":false,"suffix":""}],"container-title":"Polymer","id":"ITEM-1","issue":"2","issued":{"date-parts":[["2008"]]},"page":"27-36","title":"VALIDEZ DE CONTENIDO Y JUICIO DE EXPERTOS: UNA APROXIMACIÓN A SU UTILIZACIÓN","type":"article-journal","volume":"6"},"uris":["http://www.mendeley.com/documents/?uuid=596c625f-2329-4b2a-8d8d-fc5d6fcddea5"]}],"mendeley":{"formattedCitation":"(Escobar-Pérez &amp; Cuervo-Martínez, 2008)","plainTextFormattedCitation":"(Escobar-Pérez &amp; Cuervo-Martínez, 2008)","previouslyFormattedCitation":"(Escobar-Pérez &amp; Cuervo-Martínez, 2008)"},"properties":{"noteIndex":0},"schema":"https://github.com/citation-style-language/schema/raw/master/csl-citation.json"}</w:instrText>
      </w:r>
      <w:r w:rsidRPr="00F55522">
        <w:rPr>
          <w:rFonts w:cs="Arial"/>
          <w:i w:val="0"/>
          <w:iCs/>
          <w:color w:val="auto"/>
          <w:sz w:val="24"/>
          <w:szCs w:val="22"/>
        </w:rPr>
        <w:fldChar w:fldCharType="separate"/>
      </w:r>
      <w:r w:rsidRPr="00F55522">
        <w:rPr>
          <w:rFonts w:cs="Arial"/>
          <w:i w:val="0"/>
          <w:iCs/>
          <w:noProof/>
          <w:color w:val="auto"/>
          <w:sz w:val="24"/>
          <w:szCs w:val="22"/>
        </w:rPr>
        <w:t>(Escobar-Pérez &amp; Cuervo-Martínez, 2008)</w:t>
      </w:r>
      <w:r w:rsidRPr="00F55522">
        <w:rPr>
          <w:rFonts w:cs="Arial"/>
          <w:i w:val="0"/>
          <w:iCs/>
          <w:color w:val="auto"/>
          <w:sz w:val="24"/>
          <w:szCs w:val="22"/>
        </w:rPr>
        <w:fldChar w:fldCharType="end"/>
      </w:r>
      <w:r w:rsidRPr="00F55522">
        <w:rPr>
          <w:rFonts w:cs="Arial"/>
          <w:i w:val="0"/>
          <w:iCs/>
          <w:color w:val="auto"/>
          <w:sz w:val="24"/>
          <w:szCs w:val="22"/>
        </w:rPr>
        <w:t>. Nuevamente, se</w:t>
      </w:r>
      <w:r w:rsidR="000D1A33">
        <w:rPr>
          <w:rFonts w:cs="Arial"/>
          <w:i w:val="0"/>
          <w:iCs/>
          <w:color w:val="auto"/>
          <w:sz w:val="24"/>
          <w:szCs w:val="22"/>
        </w:rPr>
        <w:t xml:space="preserve"> buscó</w:t>
      </w:r>
      <w:r w:rsidRPr="00F55522">
        <w:rPr>
          <w:rFonts w:cs="Arial"/>
          <w:i w:val="0"/>
          <w:iCs/>
          <w:color w:val="auto"/>
          <w:sz w:val="24"/>
          <w:szCs w:val="22"/>
        </w:rPr>
        <w:t xml:space="preserve"> en la literatura instrumentos de apoyo que ayud</w:t>
      </w:r>
      <w:r w:rsidR="000D1A33">
        <w:rPr>
          <w:rFonts w:cs="Arial"/>
          <w:i w:val="0"/>
          <w:iCs/>
          <w:color w:val="auto"/>
          <w:sz w:val="24"/>
          <w:szCs w:val="22"/>
        </w:rPr>
        <w:t>aron</w:t>
      </w:r>
      <w:r w:rsidRPr="00F55522">
        <w:rPr>
          <w:rFonts w:cs="Arial"/>
          <w:i w:val="0"/>
          <w:iCs/>
          <w:color w:val="auto"/>
          <w:sz w:val="24"/>
          <w:szCs w:val="22"/>
        </w:rPr>
        <w:t xml:space="preserve"> a seleccionar estas variables.</w:t>
      </w:r>
    </w:p>
    <w:p w14:paraId="71752013" w14:textId="779FCB20"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Posteriormente se </w:t>
      </w:r>
      <w:r w:rsidR="000D1A33">
        <w:rPr>
          <w:rFonts w:cs="Arial"/>
          <w:i w:val="0"/>
          <w:iCs/>
          <w:color w:val="auto"/>
          <w:sz w:val="24"/>
          <w:szCs w:val="22"/>
        </w:rPr>
        <w:t>procedió</w:t>
      </w:r>
      <w:r w:rsidRPr="00F55522">
        <w:rPr>
          <w:rFonts w:cs="Arial"/>
          <w:i w:val="0"/>
          <w:iCs/>
          <w:color w:val="auto"/>
          <w:sz w:val="24"/>
          <w:szCs w:val="22"/>
        </w:rPr>
        <w:t xml:space="preserve"> a encontrar validaciones de las variables encontradas. Esto se </w:t>
      </w:r>
      <w:r w:rsidR="000D1A33">
        <w:rPr>
          <w:rFonts w:cs="Arial"/>
          <w:i w:val="0"/>
          <w:iCs/>
          <w:color w:val="auto"/>
          <w:sz w:val="24"/>
          <w:szCs w:val="22"/>
        </w:rPr>
        <w:t>logró</w:t>
      </w:r>
      <w:r w:rsidRPr="00F55522">
        <w:rPr>
          <w:rFonts w:cs="Arial"/>
          <w:i w:val="0"/>
          <w:iCs/>
          <w:color w:val="auto"/>
          <w:sz w:val="24"/>
          <w:szCs w:val="22"/>
        </w:rPr>
        <w:t xml:space="preserve"> mediante dos factores principales. En primer lugar, una revisión de la literatura, esta vez no para encontrar variables, sino para sustentar aquellas variables seleccionadas.</w:t>
      </w:r>
      <w:r w:rsidR="00A41BDB">
        <w:rPr>
          <w:rFonts w:cs="Arial"/>
          <w:i w:val="0"/>
          <w:iCs/>
          <w:color w:val="auto"/>
          <w:sz w:val="24"/>
          <w:szCs w:val="22"/>
        </w:rPr>
        <w:t xml:space="preserve"> Esto se </w:t>
      </w:r>
      <w:r w:rsidR="000D1A33">
        <w:rPr>
          <w:rFonts w:cs="Arial"/>
          <w:i w:val="0"/>
          <w:iCs/>
          <w:color w:val="auto"/>
          <w:sz w:val="24"/>
          <w:szCs w:val="22"/>
        </w:rPr>
        <w:t>logró</w:t>
      </w:r>
      <w:r w:rsidR="00A41BDB">
        <w:rPr>
          <w:rFonts w:cs="Arial"/>
          <w:i w:val="0"/>
          <w:iCs/>
          <w:color w:val="auto"/>
          <w:sz w:val="24"/>
          <w:szCs w:val="22"/>
        </w:rPr>
        <w:t xml:space="preserve"> por medio de técnicas de toma de decisiones, </w:t>
      </w:r>
      <w:r w:rsidR="00C81913">
        <w:rPr>
          <w:rFonts w:cs="Arial"/>
          <w:i w:val="0"/>
          <w:iCs/>
          <w:color w:val="auto"/>
          <w:sz w:val="24"/>
          <w:szCs w:val="22"/>
        </w:rPr>
        <w:t>utilizando</w:t>
      </w:r>
      <w:r w:rsidR="00A41BDB">
        <w:rPr>
          <w:rFonts w:cs="Arial"/>
          <w:i w:val="0"/>
          <w:iCs/>
          <w:color w:val="auto"/>
          <w:sz w:val="24"/>
          <w:szCs w:val="22"/>
        </w:rPr>
        <w:t xml:space="preserve"> la metodología TOPSIS, </w:t>
      </w:r>
      <w:r w:rsidR="00C81913">
        <w:rPr>
          <w:rFonts w:cs="Arial"/>
          <w:i w:val="0"/>
          <w:iCs/>
          <w:color w:val="auto"/>
          <w:sz w:val="24"/>
          <w:szCs w:val="22"/>
        </w:rPr>
        <w:t>para la calificación y clasificación de las variables</w:t>
      </w:r>
      <w:r w:rsidRPr="00F55522">
        <w:rPr>
          <w:rFonts w:cs="Arial"/>
          <w:i w:val="0"/>
          <w:iCs/>
          <w:color w:val="auto"/>
          <w:sz w:val="24"/>
          <w:szCs w:val="22"/>
        </w:rPr>
        <w:t xml:space="preserve">, por medio de expertos temáticos, se </w:t>
      </w:r>
      <w:r w:rsidR="000D1A33">
        <w:rPr>
          <w:rFonts w:cs="Arial"/>
          <w:i w:val="0"/>
          <w:iCs/>
          <w:color w:val="auto"/>
          <w:sz w:val="24"/>
          <w:szCs w:val="22"/>
        </w:rPr>
        <w:t>buscó</w:t>
      </w:r>
      <w:r w:rsidRPr="00F55522">
        <w:rPr>
          <w:rFonts w:cs="Arial"/>
          <w:i w:val="0"/>
          <w:iCs/>
          <w:color w:val="auto"/>
          <w:sz w:val="24"/>
          <w:szCs w:val="22"/>
        </w:rPr>
        <w:t xml:space="preserve"> validar las variables seleccionadas, de tal forma que se </w:t>
      </w:r>
      <w:r w:rsidR="000D1A33">
        <w:rPr>
          <w:rFonts w:cs="Arial"/>
          <w:i w:val="0"/>
          <w:iCs/>
          <w:color w:val="auto"/>
          <w:sz w:val="24"/>
          <w:szCs w:val="22"/>
        </w:rPr>
        <w:t>pudiera demostrar</w:t>
      </w:r>
      <w:r w:rsidRPr="00F55522">
        <w:rPr>
          <w:rFonts w:cs="Arial"/>
          <w:i w:val="0"/>
          <w:iCs/>
          <w:color w:val="auto"/>
          <w:sz w:val="24"/>
          <w:szCs w:val="22"/>
        </w:rPr>
        <w:t xml:space="preserve"> su impacto sobre el sector empresarial. </w:t>
      </w:r>
    </w:p>
    <w:p w14:paraId="75BEB784" w14:textId="2ADB58E2" w:rsidR="00C81913" w:rsidRDefault="00C81913" w:rsidP="00A056C1">
      <w:pPr>
        <w:pStyle w:val="Ttulo2"/>
        <w:jc w:val="both"/>
        <w:rPr>
          <w:lang w:val="es-CO"/>
        </w:rPr>
      </w:pPr>
      <w:bookmarkStart w:id="21" w:name="_Toc149994749"/>
      <w:r>
        <w:rPr>
          <w:lang w:val="es-CO"/>
        </w:rPr>
        <w:lastRenderedPageBreak/>
        <w:t xml:space="preserve">Metodología </w:t>
      </w:r>
      <w:r w:rsidR="001D6395">
        <w:rPr>
          <w:lang w:val="es-CO"/>
        </w:rPr>
        <w:t>TOPSIS</w:t>
      </w:r>
      <w:bookmarkEnd w:id="21"/>
    </w:p>
    <w:p w14:paraId="4038D3E6" w14:textId="74202AB7" w:rsidR="00E0736C" w:rsidRPr="00E0736C" w:rsidRDefault="00E0736C" w:rsidP="00A056C1">
      <w:pPr>
        <w:jc w:val="both"/>
        <w:rPr>
          <w:lang w:val="es-CO" w:eastAsia="es-ES"/>
        </w:rPr>
      </w:pPr>
      <w:r>
        <w:rPr>
          <w:lang w:val="es-CO" w:eastAsia="es-ES"/>
        </w:rPr>
        <w:t xml:space="preserve">Teniendo en cuenta las ventajas y puntos fuertes de los distintos métodos de toma de decisiones, </w:t>
      </w:r>
      <w:r w:rsidR="0068615D">
        <w:rPr>
          <w:lang w:val="es-CO" w:eastAsia="es-ES"/>
        </w:rPr>
        <w:t xml:space="preserve">se concluyó que tanto TOPSIS como ELECTRE se ajustaban a las necesidades del problema, sin embargo, </w:t>
      </w:r>
      <w:r>
        <w:rPr>
          <w:lang w:val="es-CO" w:eastAsia="es-ES"/>
        </w:rPr>
        <w:t>se optó por seleccionar la metodología TOPSIS para selección de variables</w:t>
      </w:r>
      <w:r w:rsidR="0068615D">
        <w:rPr>
          <w:lang w:val="es-CO" w:eastAsia="es-ES"/>
        </w:rPr>
        <w:t xml:space="preserve">, por su naturaleza que permite que sea fácil de entender y analizar las opciones </w:t>
      </w:r>
      <w:r w:rsidR="0068615D">
        <w:rPr>
          <w:lang w:val="es-CO" w:eastAsia="es-ES"/>
        </w:rPr>
        <w:fldChar w:fldCharType="begin" w:fldLock="1"/>
      </w:r>
      <w:r w:rsidR="00D109B3">
        <w:rPr>
          <w:lang w:val="es-CO" w:eastAsia="es-ES"/>
        </w:rPr>
        <w:instrText>ADDIN CSL_CITATION {"citationItems":[{"id":"ITEM-1","itemData":{"DOI":"10.1016/j.energy.2020.117675","abstract":"Selection of the most appropriate waste-to-energy technologies for distributed electricity generation is a complex and multi-criteria decision problem as it involves trade-off among conflicting criteria which have to be considered simultaneously. In this study, the Technique for Order of Preference by Similarity to an Ideal Solution (TOPSIS) with Entropy Weighted method is applied to select the optimal technology among the waste-to-energy technological options using the waste stream of Lagos, Nigeria. The results presented show that anaerobic digestion has been the best waste to energy technology solution for electricity generation in Lagos, followed by pyrolysis while incineration is seen as the worst preferred option of choice for energy generation applicability in standalone model. In order to maximally extract energy from waste in a sustainable, economical, and environmentally friendly manner, an integrated application of waste-to-energy technologies is also explored. It is found that the hybrid of anaerobic digestion, landfill gas recovery and pyrolysis give the most favourable results in terms of environmental benefits and electricity generation potential. It is also revealed that incineration technology either in the standalone or in the hybrid form is completely discouraged from being implemented in Lagos basically due to its high investment, operation and maintenance costs as well as its discouraging environmental image. Although, the case study in this paper is that of Lagos, Nigeria but the methodology presented could be used for any cosmopolitan city around the world.","author":[{"dropping-particle":"","family":"Alao","given":"M A","non-dropping-particle":"","parse-names":false,"suffix":""},{"dropping-particle":"","family":"Ayodele","given":"T R","non-dropping-particle":"","parse-names":false,"suffix":""},{"dropping-particle":"","family":"Ogunjuyigbe","given":"A S O","non-dropping-particle":"","parse-names":false,"suffix":""},{"dropping-particle":"","family":"Popoola","given":"O M","non-dropping-particle":"","parse-names":false,"suffix":""}],"id":"ITEM-1","issued":{"date-parts":[["2020"]]},"title":"Multi-criteria decision based waste to energy technology selection using entropy-weighted TOPSIS technique: The case study of Lagos, Nigeria","type":"article-journal"},"uris":["http://www.mendeley.com/documents/?uuid=9989dc44-1023-3cde-a16b-59a941281f70"]}],"mendeley":{"formattedCitation":"(Alao et al., 2020)","plainTextFormattedCitation":"(Alao et al., 2020)","previouslyFormattedCitation":"(Alao et al., 2020)"},"properties":{"noteIndex":0},"schema":"https://github.com/citation-style-language/schema/raw/master/csl-citation.json"}</w:instrText>
      </w:r>
      <w:r w:rsidR="0068615D">
        <w:rPr>
          <w:lang w:val="es-CO" w:eastAsia="es-ES"/>
        </w:rPr>
        <w:fldChar w:fldCharType="separate"/>
      </w:r>
      <w:r w:rsidR="0068615D" w:rsidRPr="0068615D">
        <w:rPr>
          <w:noProof/>
          <w:lang w:val="es-CO" w:eastAsia="es-ES"/>
        </w:rPr>
        <w:t>(Alao et al., 2020)</w:t>
      </w:r>
      <w:r w:rsidR="0068615D">
        <w:rPr>
          <w:lang w:val="es-CO" w:eastAsia="es-ES"/>
        </w:rPr>
        <w:fldChar w:fldCharType="end"/>
      </w:r>
      <w:r>
        <w:rPr>
          <w:lang w:val="es-CO" w:eastAsia="es-ES"/>
        </w:rPr>
        <w:t>. De igual forma se decidió asignar los pesos de los criterios de acuerdo con el valor ponderado de las calificaciones de criterios de los expertos.</w:t>
      </w:r>
    </w:p>
    <w:p w14:paraId="309335AB" w14:textId="1CA46FA9" w:rsidR="00C81913" w:rsidRDefault="004C1500" w:rsidP="00A056C1">
      <w:pPr>
        <w:jc w:val="both"/>
        <w:rPr>
          <w:szCs w:val="24"/>
        </w:rPr>
      </w:pPr>
      <w:r>
        <w:rPr>
          <w:szCs w:val="24"/>
        </w:rPr>
        <w:t xml:space="preserve">El </w:t>
      </w:r>
      <w:r w:rsidR="00C81913" w:rsidRPr="00F83DE5">
        <w:rPr>
          <w:szCs w:val="24"/>
        </w:rPr>
        <w:t xml:space="preserve">nombre </w:t>
      </w:r>
      <w:r>
        <w:rPr>
          <w:szCs w:val="24"/>
        </w:rPr>
        <w:t xml:space="preserve">del método </w:t>
      </w:r>
      <w:r w:rsidR="00C81913" w:rsidRPr="00F83DE5">
        <w:rPr>
          <w:szCs w:val="24"/>
        </w:rPr>
        <w:t xml:space="preserve">deriva del acrónimo </w:t>
      </w:r>
      <w:proofErr w:type="spellStart"/>
      <w:r w:rsidR="00C81913" w:rsidRPr="00A056C1">
        <w:rPr>
          <w:i/>
          <w:szCs w:val="24"/>
        </w:rPr>
        <w:t>Technique</w:t>
      </w:r>
      <w:proofErr w:type="spellEnd"/>
      <w:r w:rsidR="00C81913" w:rsidRPr="00A056C1">
        <w:rPr>
          <w:i/>
          <w:szCs w:val="24"/>
        </w:rPr>
        <w:t xml:space="preserve"> </w:t>
      </w:r>
      <w:proofErr w:type="spellStart"/>
      <w:r w:rsidR="00C81913" w:rsidRPr="00A056C1">
        <w:rPr>
          <w:i/>
          <w:szCs w:val="24"/>
        </w:rPr>
        <w:t>for</w:t>
      </w:r>
      <w:proofErr w:type="spellEnd"/>
      <w:r w:rsidR="00C81913" w:rsidRPr="00A056C1">
        <w:rPr>
          <w:i/>
          <w:szCs w:val="24"/>
        </w:rPr>
        <w:t xml:space="preserve"> </w:t>
      </w:r>
      <w:proofErr w:type="spellStart"/>
      <w:r w:rsidR="00C81913" w:rsidRPr="00A056C1">
        <w:rPr>
          <w:i/>
          <w:szCs w:val="24"/>
        </w:rPr>
        <w:t>order</w:t>
      </w:r>
      <w:proofErr w:type="spellEnd"/>
      <w:r w:rsidR="00C81913" w:rsidRPr="00A056C1">
        <w:rPr>
          <w:i/>
          <w:szCs w:val="24"/>
        </w:rPr>
        <w:t xml:space="preserve"> </w:t>
      </w:r>
      <w:proofErr w:type="spellStart"/>
      <w:r w:rsidR="00C81913" w:rsidRPr="00A056C1">
        <w:rPr>
          <w:i/>
          <w:szCs w:val="24"/>
        </w:rPr>
        <w:t>preference</w:t>
      </w:r>
      <w:proofErr w:type="spellEnd"/>
      <w:r w:rsidR="00C81913" w:rsidRPr="00A056C1">
        <w:rPr>
          <w:i/>
          <w:szCs w:val="24"/>
        </w:rPr>
        <w:t xml:space="preserve"> </w:t>
      </w:r>
      <w:proofErr w:type="spellStart"/>
      <w:r w:rsidR="00C81913" w:rsidRPr="00A056C1">
        <w:rPr>
          <w:i/>
          <w:szCs w:val="24"/>
        </w:rPr>
        <w:t>by</w:t>
      </w:r>
      <w:proofErr w:type="spellEnd"/>
      <w:r w:rsidR="00C81913" w:rsidRPr="00A056C1">
        <w:rPr>
          <w:i/>
          <w:szCs w:val="24"/>
        </w:rPr>
        <w:t xml:space="preserve"> </w:t>
      </w:r>
      <w:proofErr w:type="spellStart"/>
      <w:r w:rsidR="00C81913" w:rsidRPr="00A056C1">
        <w:rPr>
          <w:i/>
          <w:szCs w:val="24"/>
        </w:rPr>
        <w:t>similarity</w:t>
      </w:r>
      <w:proofErr w:type="spellEnd"/>
      <w:r w:rsidR="00C81913" w:rsidRPr="00A056C1">
        <w:rPr>
          <w:i/>
          <w:szCs w:val="24"/>
        </w:rPr>
        <w:t xml:space="preserve"> </w:t>
      </w:r>
      <w:proofErr w:type="spellStart"/>
      <w:r w:rsidR="00C81913" w:rsidRPr="00A056C1">
        <w:rPr>
          <w:i/>
          <w:szCs w:val="24"/>
        </w:rPr>
        <w:t>to</w:t>
      </w:r>
      <w:proofErr w:type="spellEnd"/>
      <w:r w:rsidR="00C81913" w:rsidRPr="00A056C1">
        <w:rPr>
          <w:i/>
          <w:szCs w:val="24"/>
        </w:rPr>
        <w:t xml:space="preserve"> ideal </w:t>
      </w:r>
      <w:proofErr w:type="spellStart"/>
      <w:r w:rsidR="00C81913" w:rsidRPr="00A056C1">
        <w:rPr>
          <w:i/>
          <w:szCs w:val="24"/>
        </w:rPr>
        <w:t>solution</w:t>
      </w:r>
      <w:proofErr w:type="spellEnd"/>
      <w:r>
        <w:rPr>
          <w:szCs w:val="24"/>
        </w:rPr>
        <w:t xml:space="preserve"> (TOPSIS)</w:t>
      </w:r>
      <w:r w:rsidR="00C81913" w:rsidRPr="00F83DE5">
        <w:rPr>
          <w:szCs w:val="24"/>
        </w:rPr>
        <w:t xml:space="preserve"> o en español “técnica para orden de preferencia por similitud a solución ideal”.</w:t>
      </w:r>
      <w:r w:rsidR="00C81913">
        <w:rPr>
          <w:szCs w:val="24"/>
        </w:rPr>
        <w:t xml:space="preserve"> Esta técnica consiste en varios pasos que se explicarán a continuación. </w:t>
      </w:r>
    </w:p>
    <w:p w14:paraId="1A7EBE8F" w14:textId="77777777" w:rsidR="00C81913" w:rsidRDefault="00C81913" w:rsidP="00A056C1">
      <w:pPr>
        <w:pStyle w:val="Prrafodelista"/>
        <w:numPr>
          <w:ilvl w:val="0"/>
          <w:numId w:val="22"/>
        </w:numPr>
        <w:spacing w:before="0" w:after="160" w:line="360" w:lineRule="auto"/>
        <w:jc w:val="both"/>
        <w:rPr>
          <w:szCs w:val="24"/>
        </w:rPr>
      </w:pPr>
      <w:r>
        <w:rPr>
          <w:szCs w:val="24"/>
        </w:rPr>
        <w:t>Paso 1: construir la matriz de opciones. Esta se debe elaborar definiendo las alternativas posibles, escogiendo los criterios y los pesos correspondientes. El criterio de selección de criterios y de calificación tanto de alternativas como de pesos es decisión del seleccionador. En la siguiente imagen se puede ver una representación de la matriz de imágenes en donde:</w:t>
      </w:r>
    </w:p>
    <w:p w14:paraId="0B613AD6" w14:textId="455574E2" w:rsidR="00C81913" w:rsidRDefault="00C81913" w:rsidP="00A056C1">
      <w:pPr>
        <w:pStyle w:val="Prrafodelista"/>
        <w:numPr>
          <w:ilvl w:val="1"/>
          <w:numId w:val="22"/>
        </w:numPr>
        <w:spacing w:before="0" w:after="160" w:line="360" w:lineRule="auto"/>
        <w:jc w:val="both"/>
        <w:rPr>
          <w:szCs w:val="24"/>
        </w:rPr>
      </w:pPr>
      <w:r>
        <w:rPr>
          <w:szCs w:val="24"/>
        </w:rPr>
        <w:t xml:space="preserve"> </w:t>
      </w:r>
      <w:proofErr w:type="spellStart"/>
      <w:r w:rsidRPr="00D479E8">
        <w:rPr>
          <w:i/>
          <w:iCs/>
          <w:szCs w:val="24"/>
        </w:rPr>
        <w:t>A</w:t>
      </w:r>
      <w:r w:rsidRPr="00D479E8">
        <w:rPr>
          <w:i/>
          <w:iCs/>
          <w:szCs w:val="24"/>
          <w:vertAlign w:val="subscript"/>
        </w:rPr>
        <w:t>i</w:t>
      </w:r>
      <w:proofErr w:type="spellEnd"/>
      <w:r>
        <w:rPr>
          <w:szCs w:val="24"/>
        </w:rPr>
        <w:t xml:space="preserve"> son las diferentes alternativas que hay para escoger</w:t>
      </w:r>
    </w:p>
    <w:p w14:paraId="2C1AD0C7" w14:textId="555EDCA6" w:rsidR="00C81913" w:rsidRDefault="00C81913" w:rsidP="00A056C1">
      <w:pPr>
        <w:pStyle w:val="Prrafodelista"/>
        <w:numPr>
          <w:ilvl w:val="1"/>
          <w:numId w:val="22"/>
        </w:numPr>
        <w:spacing w:before="0" w:after="160" w:line="360" w:lineRule="auto"/>
        <w:jc w:val="both"/>
        <w:rPr>
          <w:szCs w:val="24"/>
        </w:rPr>
      </w:pPr>
      <w:proofErr w:type="spellStart"/>
      <w:r w:rsidRPr="00D479E8">
        <w:rPr>
          <w:i/>
          <w:iCs/>
          <w:szCs w:val="24"/>
        </w:rPr>
        <w:t>C</w:t>
      </w:r>
      <w:r w:rsidRPr="00D479E8">
        <w:rPr>
          <w:i/>
          <w:iCs/>
          <w:szCs w:val="24"/>
          <w:vertAlign w:val="subscript"/>
        </w:rPr>
        <w:t>j</w:t>
      </w:r>
      <w:proofErr w:type="spellEnd"/>
      <w:r>
        <w:rPr>
          <w:szCs w:val="24"/>
        </w:rPr>
        <w:t xml:space="preserve"> son los criterios de decisión para dichas alternativas</w:t>
      </w:r>
    </w:p>
    <w:p w14:paraId="1BC81C24" w14:textId="432215FF" w:rsidR="00C81913" w:rsidRPr="002F3CB5" w:rsidRDefault="00C81913" w:rsidP="00A056C1">
      <w:pPr>
        <w:pStyle w:val="Prrafodelista"/>
        <w:numPr>
          <w:ilvl w:val="1"/>
          <w:numId w:val="22"/>
        </w:numPr>
        <w:spacing w:before="0" w:after="160" w:line="360" w:lineRule="auto"/>
        <w:jc w:val="both"/>
        <w:rPr>
          <w:szCs w:val="24"/>
        </w:rPr>
      </w:pPr>
      <w:proofErr w:type="spellStart"/>
      <w:r w:rsidRPr="00D479E8">
        <w:rPr>
          <w:i/>
          <w:iCs/>
          <w:szCs w:val="24"/>
        </w:rPr>
        <w:t>wj</w:t>
      </w:r>
      <w:proofErr w:type="spellEnd"/>
      <w:r>
        <w:rPr>
          <w:szCs w:val="24"/>
        </w:rPr>
        <w:t xml:space="preserve"> son los pesos de los distintos criterios (ya que habrá algunos criterios que sean más decisivos que otros</w:t>
      </w:r>
      <w:r w:rsidR="004C1500">
        <w:rPr>
          <w:szCs w:val="24"/>
        </w:rPr>
        <w:t>)</w:t>
      </w:r>
      <w:r>
        <w:rPr>
          <w:szCs w:val="24"/>
        </w:rPr>
        <w:t>.</w:t>
      </w:r>
    </w:p>
    <w:p w14:paraId="66EC4D3E" w14:textId="77777777" w:rsidR="00C81913" w:rsidRDefault="00C81913" w:rsidP="004261FD">
      <w:pPr>
        <w:spacing w:line="360" w:lineRule="auto"/>
        <w:jc w:val="center"/>
        <w:rPr>
          <w:szCs w:val="24"/>
        </w:rPr>
      </w:pPr>
      <w:r w:rsidRPr="002F3CB5">
        <w:rPr>
          <w:noProof/>
          <w:szCs w:val="24"/>
        </w:rPr>
        <w:drawing>
          <wp:inline distT="0" distB="0" distL="0" distR="0" wp14:anchorId="044CEE09" wp14:editId="16547257">
            <wp:extent cx="4280120" cy="149232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saturation sat="0"/>
                              </a14:imgEffect>
                            </a14:imgLayer>
                          </a14:imgProps>
                        </a:ext>
                      </a:extLst>
                    </a:blip>
                    <a:stretch>
                      <a:fillRect/>
                    </a:stretch>
                  </pic:blipFill>
                  <pic:spPr>
                    <a:xfrm>
                      <a:off x="0" y="0"/>
                      <a:ext cx="4280120" cy="1492327"/>
                    </a:xfrm>
                    <a:prstGeom prst="rect">
                      <a:avLst/>
                    </a:prstGeom>
                  </pic:spPr>
                </pic:pic>
              </a:graphicData>
            </a:graphic>
          </wp:inline>
        </w:drawing>
      </w:r>
    </w:p>
    <w:p w14:paraId="78F43954" w14:textId="66AE143E" w:rsidR="004D533A" w:rsidRPr="004D533A" w:rsidRDefault="004D533A" w:rsidP="004261FD">
      <w:pPr>
        <w:pStyle w:val="Descripcin"/>
        <w:keepNext/>
        <w:jc w:val="center"/>
        <w:rPr>
          <w:i w:val="0"/>
          <w:iCs w:val="0"/>
          <w:color w:val="000000" w:themeColor="text1"/>
          <w:sz w:val="16"/>
          <w:szCs w:val="16"/>
        </w:rPr>
      </w:pPr>
      <w:bookmarkStart w:id="22" w:name="_Toc134470840"/>
      <w:bookmarkStart w:id="23" w:name="_Hlk134359310"/>
      <w:r w:rsidRPr="004D533A">
        <w:rPr>
          <w:i w:val="0"/>
          <w:iCs w:val="0"/>
          <w:color w:val="000000" w:themeColor="text1"/>
          <w:sz w:val="16"/>
          <w:szCs w:val="16"/>
        </w:rPr>
        <w:lastRenderedPageBreak/>
        <w:t xml:space="preserve">Tabla </w:t>
      </w:r>
      <w:r w:rsidRPr="004D533A">
        <w:rPr>
          <w:i w:val="0"/>
          <w:iCs w:val="0"/>
          <w:color w:val="000000" w:themeColor="text1"/>
          <w:sz w:val="16"/>
          <w:szCs w:val="16"/>
        </w:rPr>
        <w:fldChar w:fldCharType="begin"/>
      </w:r>
      <w:r w:rsidRPr="004D533A">
        <w:rPr>
          <w:i w:val="0"/>
          <w:iCs w:val="0"/>
          <w:color w:val="000000" w:themeColor="text1"/>
          <w:sz w:val="16"/>
          <w:szCs w:val="16"/>
        </w:rPr>
        <w:instrText xml:space="preserve"> SEQ Tabla \* ARABIC </w:instrText>
      </w:r>
      <w:r w:rsidRPr="004D533A">
        <w:rPr>
          <w:i w:val="0"/>
          <w:iCs w:val="0"/>
          <w:color w:val="000000" w:themeColor="text1"/>
          <w:sz w:val="16"/>
          <w:szCs w:val="16"/>
        </w:rPr>
        <w:fldChar w:fldCharType="separate"/>
      </w:r>
      <w:r w:rsidR="00036BF0">
        <w:rPr>
          <w:i w:val="0"/>
          <w:iCs w:val="0"/>
          <w:noProof/>
          <w:color w:val="000000" w:themeColor="text1"/>
          <w:sz w:val="16"/>
          <w:szCs w:val="16"/>
        </w:rPr>
        <w:t>1</w:t>
      </w:r>
      <w:r w:rsidRPr="004D533A">
        <w:rPr>
          <w:i w:val="0"/>
          <w:iCs w:val="0"/>
          <w:color w:val="000000" w:themeColor="text1"/>
          <w:sz w:val="16"/>
          <w:szCs w:val="16"/>
        </w:rPr>
        <w:fldChar w:fldCharType="end"/>
      </w:r>
      <w:r w:rsidRPr="004D533A">
        <w:rPr>
          <w:i w:val="0"/>
          <w:iCs w:val="0"/>
          <w:color w:val="000000" w:themeColor="text1"/>
          <w:sz w:val="16"/>
          <w:szCs w:val="16"/>
        </w:rPr>
        <w:t>. Tabla ejemplo de pesos por variable y por criterio. Elaboración Propia</w:t>
      </w:r>
      <w:bookmarkEnd w:id="22"/>
    </w:p>
    <w:bookmarkEnd w:id="23"/>
    <w:p w14:paraId="3C9FEBFD" w14:textId="77777777" w:rsidR="009D044E" w:rsidRDefault="009D044E" w:rsidP="00A056C1">
      <w:pPr>
        <w:spacing w:line="360" w:lineRule="auto"/>
        <w:ind w:firstLine="0"/>
        <w:jc w:val="both"/>
        <w:rPr>
          <w:szCs w:val="24"/>
        </w:rPr>
      </w:pPr>
    </w:p>
    <w:p w14:paraId="125C3E42" w14:textId="54CCEC33" w:rsidR="00C81913" w:rsidRDefault="00C81913" w:rsidP="00A056C1">
      <w:pPr>
        <w:pStyle w:val="Prrafodelista"/>
        <w:numPr>
          <w:ilvl w:val="0"/>
          <w:numId w:val="22"/>
        </w:numPr>
        <w:spacing w:before="0" w:after="160" w:line="360" w:lineRule="auto"/>
        <w:jc w:val="both"/>
        <w:rPr>
          <w:szCs w:val="24"/>
        </w:rPr>
      </w:pPr>
      <w:r>
        <w:rPr>
          <w:szCs w:val="24"/>
        </w:rPr>
        <w:t>Paso 2: normalización de la matriz de decisión. Debido a que cada criterio podría estar definido según diversas unidades (que podrían ser distancias, precios, pesos, entre otros) estas se deben normalizar para tener un punto de comparación entre ellas. Para la normalización se debe usar la siguiente fórmula</w:t>
      </w:r>
      <w:r w:rsidR="00D109B3">
        <w:rPr>
          <w:szCs w:val="24"/>
        </w:rPr>
        <w:t xml:space="preserve"> </w:t>
      </w:r>
      <w:r w:rsidR="00D109B3">
        <w:rPr>
          <w:szCs w:val="24"/>
        </w:rPr>
        <w:fldChar w:fldCharType="begin" w:fldLock="1"/>
      </w:r>
      <w:r w:rsidR="00D109B3">
        <w:rPr>
          <w:szCs w:val="24"/>
        </w:rPr>
        <w:instrText>ADDIN CSL_CITATION {"citationItems":[{"id":"ITEM-1","itemData":{"DOI":"10.1016/j.energy.2020.117675","abstract":"Selection of the most appropriate waste-to-energy technologies for distributed electricity generation is a complex and multi-criteria decision problem as it involves trade-off among conflicting criteria which have to be considered simultaneously. In this study, the Technique for Order of Preference by Similarity to an Ideal Solution (TOPSIS) with Entropy Weighted method is applied to select the optimal technology among the waste-to-energy technological options using the waste stream of Lagos, Nigeria. The results presented show that anaerobic digestion has been the best waste to energy technology solution for electricity generation in Lagos, followed by pyrolysis while incineration is seen as the worst preferred option of choice for energy generation applicability in standalone model. In order to maximally extract energy from waste in a sustainable, economical, and environmentally friendly manner, an integrated application of waste-to-energy technologies is also explored. It is found that the hybrid of anaerobic digestion, landfill gas recovery and pyrolysis give the most favourable results in terms of environmental benefits and electricity generation potential. It is also revealed that incineration technology either in the standalone or in the hybrid form is completely discouraged from being implemented in Lagos basically due to its high investment, operation and maintenance costs as well as its discouraging environmental image. Although, the case study in this paper is that of Lagos, Nigeria but the methodology presented could be used for any cosmopolitan city around the world.","author":[{"dropping-particle":"","family":"Alao","given":"M A","non-dropping-particle":"","parse-names":false,"suffix":""},{"dropping-particle":"","family":"Ayodele","given":"T R","non-dropping-particle":"","parse-names":false,"suffix":""},{"dropping-particle":"","family":"Ogunjuyigbe","given":"A S O","non-dropping-particle":"","parse-names":false,"suffix":""},{"dropping-particle":"","family":"Popoola","given":"O M","non-dropping-particle":"","parse-names":false,"suffix":""}],"id":"ITEM-1","issued":{"date-parts":[["2020"]]},"title":"Multi-criteria decision based waste to energy technology selection using entropy-weighted TOPSIS technique: The case study of Lagos, Nigeria","type":"article-journal"},"uris":["http://www.mendeley.com/documents/?uuid=9989dc44-1023-3cde-a16b-59a941281f70"]}],"mendeley":{"formattedCitation":"(Alao et al., 2020)","plainTextFormattedCitation":"(Alao et al., 2020)","previouslyFormattedCitation":"(Alao et al., 2020)"},"properties":{"noteIndex":0},"schema":"https://github.com/citation-style-language/schema/raw/master/csl-citation.json"}</w:instrText>
      </w:r>
      <w:r w:rsidR="00D109B3">
        <w:rPr>
          <w:szCs w:val="24"/>
        </w:rPr>
        <w:fldChar w:fldCharType="separate"/>
      </w:r>
      <w:r w:rsidR="00D109B3" w:rsidRPr="00D109B3">
        <w:rPr>
          <w:noProof/>
          <w:szCs w:val="24"/>
        </w:rPr>
        <w:t>(Alao et al., 2020)</w:t>
      </w:r>
      <w:r w:rsidR="00D109B3">
        <w:rPr>
          <w:szCs w:val="24"/>
        </w:rPr>
        <w:fldChar w:fldCharType="end"/>
      </w:r>
      <w:r>
        <w:rPr>
          <w:szCs w:val="24"/>
        </w:rPr>
        <w:t>.</w:t>
      </w:r>
    </w:p>
    <w:p w14:paraId="15F7D9E6" w14:textId="72FFD120" w:rsidR="00C81913" w:rsidRPr="00EE596B" w:rsidRDefault="009F4F0D" w:rsidP="00A056C1">
      <w:pPr>
        <w:pStyle w:val="Prrafodelista"/>
        <w:spacing w:line="360" w:lineRule="auto"/>
        <w:jc w:val="center"/>
        <w:rPr>
          <w:rFonts w:eastAsiaTheme="minorEastAsia"/>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ij</m:t>
            </m:r>
          </m:sub>
        </m:sSub>
        <m:r>
          <w:rPr>
            <w:rFonts w:ascii="Cambria Math" w:hAnsi="Cambria Math"/>
            <w:szCs w:val="24"/>
          </w:rPr>
          <m:t xml:space="preserve">= </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x</m:t>
                </m:r>
              </m:e>
              <m:sub>
                <m:r>
                  <w:rPr>
                    <w:rFonts w:ascii="Cambria Math" w:hAnsi="Cambria Math"/>
                    <w:szCs w:val="24"/>
                  </w:rPr>
                  <m:t>ij</m:t>
                </m:r>
              </m:sub>
            </m:sSub>
          </m:num>
          <m:den>
            <m:rad>
              <m:radPr>
                <m:ctrlPr>
                  <w:rPr>
                    <w:rFonts w:ascii="Cambria Math" w:hAnsi="Cambria Math"/>
                    <w:i/>
                    <w:szCs w:val="24"/>
                  </w:rPr>
                </m:ctrlPr>
              </m:radPr>
              <m:deg>
                <m:r>
                  <w:rPr>
                    <w:rFonts w:ascii="Cambria Math" w:hAnsi="Cambria Math"/>
                    <w:szCs w:val="24"/>
                  </w:rPr>
                  <m:t>2</m:t>
                </m:r>
              </m:deg>
              <m:e>
                <m:nary>
                  <m:naryPr>
                    <m:chr m:val="∑"/>
                    <m:limLoc m:val="undOvr"/>
                    <m:ctrlPr>
                      <w:rPr>
                        <w:rFonts w:ascii="Cambria Math" w:hAnsi="Cambria Math"/>
                        <w:i/>
                        <w:szCs w:val="24"/>
                      </w:rPr>
                    </m:ctrlPr>
                  </m:naryPr>
                  <m:sub>
                    <m:r>
                      <w:rPr>
                        <w:rFonts w:ascii="Cambria Math" w:hAnsi="Cambria Math"/>
                        <w:szCs w:val="24"/>
                      </w:rPr>
                      <m:t>j=1</m:t>
                    </m:r>
                  </m:sub>
                  <m:sup>
                    <m:r>
                      <w:rPr>
                        <w:rFonts w:ascii="Cambria Math" w:hAnsi="Cambria Math"/>
                        <w:szCs w:val="24"/>
                      </w:rPr>
                      <m:t>m</m:t>
                    </m:r>
                  </m:sup>
                  <m:e>
                    <m:sSup>
                      <m:sSupPr>
                        <m:ctrlPr>
                          <w:rPr>
                            <w:rFonts w:ascii="Cambria Math" w:hAnsi="Cambria Math"/>
                            <w:i/>
                            <w:szCs w:val="24"/>
                          </w:rPr>
                        </m:ctrlPr>
                      </m:sSupPr>
                      <m:e>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x</m:t>
                                </m:r>
                              </m:e>
                              <m:sub>
                                <m:r>
                                  <w:rPr>
                                    <w:rFonts w:ascii="Cambria Math" w:hAnsi="Cambria Math"/>
                                    <w:szCs w:val="24"/>
                                  </w:rPr>
                                  <m:t>ij</m:t>
                                </m:r>
                              </m:sub>
                            </m:sSub>
                          </m:e>
                        </m:d>
                      </m:e>
                      <m:sup>
                        <m:r>
                          <w:rPr>
                            <w:rFonts w:ascii="Cambria Math" w:hAnsi="Cambria Math"/>
                            <w:szCs w:val="24"/>
                          </w:rPr>
                          <m:t>2</m:t>
                        </m:r>
                      </m:sup>
                    </m:sSup>
                    <m:r>
                      <w:rPr>
                        <w:rFonts w:ascii="Cambria Math" w:hAnsi="Cambria Math"/>
                        <w:szCs w:val="24"/>
                      </w:rPr>
                      <m:t>,</m:t>
                    </m:r>
                    <m:sSub>
                      <m:sSubPr>
                        <m:ctrlPr>
                          <w:rPr>
                            <w:rFonts w:ascii="Cambria Math" w:hAnsi="Cambria Math"/>
                            <w:i/>
                            <w:szCs w:val="24"/>
                          </w:rPr>
                        </m:ctrlPr>
                      </m:sSubPr>
                      <m:e>
                        <m:r>
                          <w:rPr>
                            <w:rFonts w:ascii="Cambria Math" w:hAnsi="Cambria Math"/>
                            <w:szCs w:val="24"/>
                          </w:rPr>
                          <m:t>j</m:t>
                        </m:r>
                      </m:e>
                      <m:sub>
                        <m:r>
                          <w:rPr>
                            <w:rFonts w:ascii="Cambria Math" w:hAnsi="Cambria Math"/>
                            <w:szCs w:val="24"/>
                          </w:rPr>
                          <m:t>=1,…,m</m:t>
                        </m:r>
                      </m:sub>
                    </m:sSub>
                  </m:e>
                </m:nary>
              </m:e>
            </m:rad>
          </m:den>
        </m:f>
      </m:oMath>
      <w:r w:rsidR="00C81913" w:rsidRPr="00D479E8">
        <w:rPr>
          <w:rFonts w:eastAsiaTheme="minorEastAsia"/>
          <w:szCs w:val="24"/>
        </w:rPr>
        <w:t xml:space="preserve">   </w:t>
      </w:r>
      <w:r w:rsidR="004C1500" w:rsidRPr="00D479E8">
        <w:rPr>
          <w:rFonts w:eastAsiaTheme="minorEastAsia"/>
          <w:szCs w:val="24"/>
        </w:rPr>
        <w:t xml:space="preserve">  </w:t>
      </w:r>
      <w:r w:rsidR="004C1500">
        <w:rPr>
          <w:rFonts w:eastAsiaTheme="minorEastAsia"/>
          <w:szCs w:val="24"/>
        </w:rPr>
        <w:t xml:space="preserve">                        </w:t>
      </w:r>
      <w:r w:rsidR="004C1500" w:rsidRPr="00D479E8">
        <w:rPr>
          <w:rFonts w:eastAsiaTheme="minorEastAsia"/>
          <w:szCs w:val="24"/>
        </w:rPr>
        <w:t xml:space="preserve">                        </w:t>
      </w:r>
      <w:r w:rsidR="00C81913">
        <w:rPr>
          <w:rFonts w:eastAsiaTheme="minorEastAsia"/>
          <w:szCs w:val="24"/>
        </w:rPr>
        <w:t>(2-1)</w:t>
      </w:r>
    </w:p>
    <w:p w14:paraId="606EFF6E" w14:textId="4BC8CD2F" w:rsidR="00C81913" w:rsidRDefault="00C81913" w:rsidP="00A056C1">
      <w:pPr>
        <w:pStyle w:val="Prrafodelista"/>
        <w:numPr>
          <w:ilvl w:val="0"/>
          <w:numId w:val="22"/>
        </w:numPr>
        <w:spacing w:before="0" w:after="160" w:line="360" w:lineRule="auto"/>
        <w:jc w:val="both"/>
        <w:rPr>
          <w:rFonts w:eastAsiaTheme="minorEastAsia"/>
          <w:szCs w:val="24"/>
        </w:rPr>
      </w:pPr>
      <w:r w:rsidRPr="00EE596B">
        <w:rPr>
          <w:rFonts w:eastAsiaTheme="minorEastAsia"/>
          <w:szCs w:val="24"/>
        </w:rPr>
        <w:t xml:space="preserve">Paso 3: </w:t>
      </w:r>
      <w:r w:rsidR="004C1500">
        <w:rPr>
          <w:rFonts w:eastAsiaTheme="minorEastAsia"/>
          <w:szCs w:val="24"/>
        </w:rPr>
        <w:t>c</w:t>
      </w:r>
      <w:r w:rsidR="004C1500" w:rsidRPr="00EE596B">
        <w:rPr>
          <w:rFonts w:eastAsiaTheme="minorEastAsia"/>
          <w:szCs w:val="24"/>
        </w:rPr>
        <w:t xml:space="preserve">onstruir </w:t>
      </w:r>
      <w:r w:rsidRPr="00EE596B">
        <w:rPr>
          <w:rFonts w:eastAsiaTheme="minorEastAsia"/>
          <w:szCs w:val="24"/>
        </w:rPr>
        <w:t xml:space="preserve">la matriz de decisión normalizada y ponderada: </w:t>
      </w:r>
      <w:r>
        <w:rPr>
          <w:rFonts w:eastAsiaTheme="minorEastAsia"/>
          <w:szCs w:val="24"/>
        </w:rPr>
        <w:t>este paso consiste simplemente en agregar a cada calificación de criterio de cada alternativa su respectivo peso. Esto se logra multiplicando el peso de cada criterio por cada una de las calificaciones de cada alternativa asociado a dicho criterio. De la siguiente manera:</w:t>
      </w:r>
    </w:p>
    <w:p w14:paraId="1D4A059D" w14:textId="0EE65989" w:rsidR="00C81913" w:rsidRDefault="00C81913" w:rsidP="00A056C1">
      <w:pPr>
        <w:spacing w:line="360" w:lineRule="auto"/>
        <w:jc w:val="center"/>
        <w:rPr>
          <w:rFonts w:ascii="Cambria Math" w:hAnsi="Cambria Math"/>
          <w:sz w:val="36"/>
          <w:szCs w:val="36"/>
        </w:rPr>
      </w:pPr>
      <w:r w:rsidRPr="00D479E8">
        <w:rPr>
          <w:rFonts w:ascii="Cambria Math" w:hAnsi="Cambria Math" w:cs="Cambria Math"/>
          <w:szCs w:val="24"/>
        </w:rPr>
        <w:t>𝑣</w:t>
      </w:r>
      <w:proofErr w:type="spellStart"/>
      <w:r w:rsidRPr="00D479E8">
        <w:rPr>
          <w:szCs w:val="24"/>
        </w:rPr>
        <w:t>ij</w:t>
      </w:r>
      <w:proofErr w:type="spellEnd"/>
      <w:r w:rsidRPr="00D479E8">
        <w:rPr>
          <w:szCs w:val="24"/>
        </w:rPr>
        <w:t xml:space="preserve">= </w:t>
      </w:r>
      <w:r w:rsidRPr="00D479E8">
        <w:rPr>
          <w:rFonts w:ascii="Cambria Math" w:hAnsi="Cambria Math" w:cs="Cambria Math"/>
          <w:szCs w:val="24"/>
        </w:rPr>
        <w:t>𝑤</w:t>
      </w:r>
      <w:r w:rsidRPr="00D479E8">
        <w:rPr>
          <w:szCs w:val="24"/>
        </w:rPr>
        <w:t xml:space="preserve">j x </w:t>
      </w:r>
      <w:r w:rsidRPr="00D479E8">
        <w:rPr>
          <w:rFonts w:ascii="Cambria Math" w:hAnsi="Cambria Math" w:cs="Cambria Math"/>
          <w:szCs w:val="24"/>
        </w:rPr>
        <w:t>𝑛</w:t>
      </w:r>
      <w:proofErr w:type="spellStart"/>
      <w:proofErr w:type="gramStart"/>
      <w:r w:rsidRPr="00D479E8">
        <w:rPr>
          <w:szCs w:val="24"/>
        </w:rPr>
        <w:t>ij</w:t>
      </w:r>
      <w:proofErr w:type="spellEnd"/>
      <w:r w:rsidRPr="00D479E8">
        <w:rPr>
          <w:szCs w:val="24"/>
        </w:rPr>
        <w:t xml:space="preserve"> ,</w:t>
      </w:r>
      <w:proofErr w:type="gramEnd"/>
      <w:r w:rsidRPr="00D479E8">
        <w:rPr>
          <w:szCs w:val="24"/>
        </w:rPr>
        <w:t xml:space="preserve"> </w:t>
      </w:r>
      <w:r w:rsidRPr="00D479E8">
        <w:rPr>
          <w:rFonts w:ascii="Cambria Math" w:hAnsi="Cambria Math" w:cs="Cambria Math"/>
          <w:szCs w:val="24"/>
        </w:rPr>
        <w:t>𝒋</w:t>
      </w:r>
      <w:r w:rsidRPr="00D479E8">
        <w:rPr>
          <w:szCs w:val="24"/>
        </w:rPr>
        <w:t xml:space="preserve"> = </w:t>
      </w:r>
      <w:r w:rsidRPr="00D479E8">
        <w:rPr>
          <w:rFonts w:ascii="Cambria Math" w:hAnsi="Cambria Math" w:cs="Cambria Math"/>
          <w:szCs w:val="24"/>
        </w:rPr>
        <w:t>𝟏</w:t>
      </w:r>
      <w:r w:rsidRPr="00D479E8">
        <w:rPr>
          <w:szCs w:val="24"/>
        </w:rPr>
        <w:t xml:space="preserve"> ,…, </w:t>
      </w:r>
      <w:r w:rsidRPr="00D479E8">
        <w:rPr>
          <w:rFonts w:ascii="Cambria Math" w:hAnsi="Cambria Math" w:cs="Cambria Math"/>
          <w:szCs w:val="24"/>
        </w:rPr>
        <w:t>𝒏</w:t>
      </w:r>
      <w:r w:rsidRPr="00D479E8">
        <w:rPr>
          <w:szCs w:val="24"/>
        </w:rPr>
        <w:t>,</w:t>
      </w:r>
      <w:r w:rsidRPr="00D479E8">
        <w:rPr>
          <w:rFonts w:ascii="Cambria Math" w:hAnsi="Cambria Math" w:cs="Cambria Math"/>
          <w:szCs w:val="24"/>
        </w:rPr>
        <w:t>𝒊</w:t>
      </w:r>
      <w:r w:rsidRPr="00D479E8">
        <w:rPr>
          <w:szCs w:val="24"/>
        </w:rPr>
        <w:t xml:space="preserve"> = </w:t>
      </w:r>
      <w:r w:rsidRPr="00D479E8">
        <w:rPr>
          <w:rFonts w:ascii="Cambria Math" w:hAnsi="Cambria Math" w:cs="Cambria Math"/>
          <w:szCs w:val="24"/>
        </w:rPr>
        <w:t>𝟏</w:t>
      </w:r>
      <w:r w:rsidRPr="00D479E8">
        <w:rPr>
          <w:szCs w:val="24"/>
        </w:rPr>
        <w:t xml:space="preserve"> ,…,</w:t>
      </w:r>
      <w:r w:rsidRPr="00D479E8">
        <w:rPr>
          <w:rFonts w:ascii="Cambria Math" w:hAnsi="Cambria Math"/>
          <w:szCs w:val="24"/>
        </w:rPr>
        <w:t xml:space="preserve">m </w:t>
      </w:r>
      <w:r w:rsidR="004C1500" w:rsidRPr="00D479E8">
        <w:rPr>
          <w:rFonts w:ascii="Cambria Math" w:hAnsi="Cambria Math"/>
          <w:szCs w:val="24"/>
        </w:rPr>
        <w:t xml:space="preserve">         </w:t>
      </w:r>
      <w:r w:rsidR="004C1500">
        <w:rPr>
          <w:rFonts w:ascii="Cambria Math" w:hAnsi="Cambria Math"/>
          <w:szCs w:val="24"/>
        </w:rPr>
        <w:t xml:space="preserve">                  </w:t>
      </w:r>
      <w:r w:rsidR="004C1500" w:rsidRPr="00D479E8">
        <w:rPr>
          <w:rFonts w:ascii="Cambria Math" w:hAnsi="Cambria Math"/>
          <w:szCs w:val="24"/>
        </w:rPr>
        <w:t xml:space="preserve">  </w:t>
      </w:r>
      <w:r>
        <w:rPr>
          <w:rFonts w:eastAsiaTheme="minorEastAsia"/>
          <w:szCs w:val="24"/>
        </w:rPr>
        <w:t>( 2-2)</w:t>
      </w:r>
    </w:p>
    <w:p w14:paraId="3BC62C08" w14:textId="77777777" w:rsidR="00C81913" w:rsidRDefault="00C81913" w:rsidP="00A056C1">
      <w:pPr>
        <w:spacing w:line="360" w:lineRule="auto"/>
        <w:ind w:left="708" w:firstLine="2"/>
        <w:jc w:val="both"/>
        <w:rPr>
          <w:rFonts w:eastAsiaTheme="minorEastAsia"/>
          <w:szCs w:val="24"/>
        </w:rPr>
      </w:pPr>
      <w:r w:rsidRPr="00BA01A5">
        <w:rPr>
          <w:rFonts w:eastAsiaTheme="minorEastAsia"/>
          <w:szCs w:val="24"/>
        </w:rPr>
        <w:t xml:space="preserve">En donde </w:t>
      </w:r>
      <w:proofErr w:type="spellStart"/>
      <w:r w:rsidRPr="00D479E8">
        <w:rPr>
          <w:rFonts w:eastAsiaTheme="minorEastAsia"/>
          <w:i/>
          <w:iCs/>
          <w:szCs w:val="24"/>
        </w:rPr>
        <w:t>w</w:t>
      </w:r>
      <w:r w:rsidRPr="00D479E8">
        <w:rPr>
          <w:rFonts w:eastAsiaTheme="minorEastAsia"/>
          <w:i/>
          <w:iCs/>
          <w:szCs w:val="24"/>
          <w:vertAlign w:val="subscript"/>
        </w:rPr>
        <w:t>j</w:t>
      </w:r>
      <w:proofErr w:type="spellEnd"/>
      <w:r w:rsidRPr="00BA01A5">
        <w:rPr>
          <w:rFonts w:eastAsiaTheme="minorEastAsia"/>
          <w:szCs w:val="24"/>
        </w:rPr>
        <w:t xml:space="preserve"> es el j-</w:t>
      </w:r>
      <w:proofErr w:type="spellStart"/>
      <w:r w:rsidRPr="00BA01A5">
        <w:rPr>
          <w:rFonts w:eastAsiaTheme="minorEastAsia"/>
          <w:szCs w:val="24"/>
        </w:rPr>
        <w:t>ésimo</w:t>
      </w:r>
      <w:proofErr w:type="spellEnd"/>
      <w:r w:rsidRPr="00BA01A5">
        <w:rPr>
          <w:rFonts w:eastAsiaTheme="minorEastAsia"/>
          <w:szCs w:val="24"/>
        </w:rPr>
        <w:t xml:space="preserve"> peso de los criterios. En esta parte, la suma de pesos debe sumar iguala 1</w:t>
      </w:r>
      <w:r>
        <w:rPr>
          <w:rFonts w:eastAsiaTheme="minorEastAsia"/>
          <w:szCs w:val="24"/>
        </w:rPr>
        <w:t>.</w:t>
      </w:r>
    </w:p>
    <w:p w14:paraId="3C93FA23" w14:textId="0C80693E" w:rsidR="00C81913" w:rsidRDefault="00C81913" w:rsidP="00A056C1">
      <w:pPr>
        <w:pStyle w:val="Prrafodelista"/>
        <w:numPr>
          <w:ilvl w:val="0"/>
          <w:numId w:val="22"/>
        </w:numPr>
        <w:spacing w:before="0" w:after="160" w:line="360" w:lineRule="auto"/>
        <w:jc w:val="both"/>
        <w:rPr>
          <w:rFonts w:eastAsiaTheme="minorEastAsia"/>
          <w:szCs w:val="24"/>
        </w:rPr>
      </w:pPr>
      <w:r>
        <w:rPr>
          <w:rFonts w:eastAsiaTheme="minorEastAsia"/>
          <w:szCs w:val="24"/>
        </w:rPr>
        <w:t>Paso 4: obtención de la solución ideal positiva (PIS), y solución ideal negativa (NIS). La solución ideal positiva, se selecciona determinando la mejor opción disponible para cada criterio, entre las alternativas disponibles. Si</w:t>
      </w:r>
      <w:r w:rsidR="004C1500">
        <w:rPr>
          <w:rFonts w:eastAsiaTheme="minorEastAsia"/>
          <w:szCs w:val="24"/>
        </w:rPr>
        <w:t>,</w:t>
      </w:r>
      <w:r>
        <w:rPr>
          <w:rFonts w:eastAsiaTheme="minorEastAsia"/>
          <w:szCs w:val="24"/>
        </w:rPr>
        <w:t xml:space="preserve"> por ejemplo, el criterio de selección utilizado fuera el precio, entonces el PIS, debería ser el menor precio entre las alternativas, </w:t>
      </w:r>
      <w:r w:rsidR="00552981">
        <w:rPr>
          <w:rFonts w:eastAsiaTheme="minorEastAsia"/>
          <w:szCs w:val="24"/>
        </w:rPr>
        <w:t>ya que,</w:t>
      </w:r>
      <w:r>
        <w:rPr>
          <w:rFonts w:eastAsiaTheme="minorEastAsia"/>
          <w:szCs w:val="24"/>
        </w:rPr>
        <w:t xml:space="preserve"> </w:t>
      </w:r>
      <w:r w:rsidR="004C1500">
        <w:rPr>
          <w:rFonts w:eastAsiaTheme="minorEastAsia"/>
          <w:szCs w:val="24"/>
        </w:rPr>
        <w:t xml:space="preserve">si se </w:t>
      </w:r>
      <w:r>
        <w:rPr>
          <w:rFonts w:eastAsiaTheme="minorEastAsia"/>
          <w:szCs w:val="24"/>
        </w:rPr>
        <w:t xml:space="preserve">busca la mejor decisión, y en este caso naturalmente </w:t>
      </w:r>
      <w:r w:rsidR="004C1500">
        <w:rPr>
          <w:rFonts w:eastAsiaTheme="minorEastAsia"/>
          <w:szCs w:val="24"/>
        </w:rPr>
        <w:t xml:space="preserve">se quiere </w:t>
      </w:r>
      <w:r>
        <w:rPr>
          <w:rFonts w:eastAsiaTheme="minorEastAsia"/>
          <w:szCs w:val="24"/>
        </w:rPr>
        <w:t>seleccionar la alternativa que menor costo genere. Por el contrario, el NIS sería la peor opción disponible para cada criterio entre las alternativas disponibles. Bajo el mismo ejemplo, para el NIS se debería escoger el precio más alto asociado a las variables. En este paso se debe tener cuidado, pues en ocasiones el PIS podría ser el mayor valor de entre las opciones, y en otras ocasiones el menor, dependiendo de cada caso.</w:t>
      </w:r>
    </w:p>
    <w:p w14:paraId="13EFD248" w14:textId="77777777" w:rsidR="00C81913" w:rsidRPr="00E02337" w:rsidRDefault="00C81913" w:rsidP="00A056C1">
      <w:pPr>
        <w:spacing w:before="0" w:after="160" w:line="360" w:lineRule="auto"/>
        <w:ind w:firstLine="0"/>
        <w:jc w:val="both"/>
        <w:rPr>
          <w:rFonts w:eastAsiaTheme="minorEastAsia"/>
          <w:szCs w:val="24"/>
        </w:rPr>
      </w:pPr>
    </w:p>
    <w:p w14:paraId="7262C528" w14:textId="77777777" w:rsidR="00C81913" w:rsidRDefault="00C81913" w:rsidP="00A056C1">
      <w:pPr>
        <w:pStyle w:val="Prrafodelista"/>
        <w:numPr>
          <w:ilvl w:val="0"/>
          <w:numId w:val="22"/>
        </w:numPr>
        <w:spacing w:before="0" w:after="160" w:line="360" w:lineRule="auto"/>
        <w:jc w:val="both"/>
        <w:rPr>
          <w:rFonts w:eastAsiaTheme="minorEastAsia"/>
          <w:szCs w:val="24"/>
        </w:rPr>
      </w:pPr>
      <w:r>
        <w:rPr>
          <w:rFonts w:eastAsiaTheme="minorEastAsia"/>
          <w:szCs w:val="24"/>
        </w:rPr>
        <w:lastRenderedPageBreak/>
        <w:t xml:space="preserve"> Paso 5: cálculo de la distancia euclidiana: se analiza la distancia de cada alternativa a la solución ideal positiva y la distancia de cada alternativa a la solución ideal negativa, teniendo en cuenta cada uno de los criterios. Se utiliza la siguiente formula:</w:t>
      </w:r>
    </w:p>
    <w:p w14:paraId="523287CA" w14:textId="29C35CCF" w:rsidR="00C81913" w:rsidRPr="00D479E8" w:rsidRDefault="009F4F0D" w:rsidP="00A056C1">
      <w:pPr>
        <w:spacing w:line="360" w:lineRule="auto"/>
        <w:jc w:val="cente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disp</m:t>
            </m:r>
          </m:e>
          <m:sub>
            <m:r>
              <w:rPr>
                <w:rFonts w:ascii="Cambria Math" w:eastAsiaTheme="minorEastAsia" w:hAnsi="Cambria Math"/>
                <w:szCs w:val="24"/>
              </w:rPr>
              <m:t>i</m:t>
            </m:r>
          </m:sub>
        </m:sSub>
        <m:r>
          <w:rPr>
            <w:rFonts w:ascii="Cambria Math" w:eastAsiaTheme="minorEastAsia" w:hAnsi="Cambria Math"/>
            <w:szCs w:val="24"/>
          </w:rPr>
          <m:t>=</m:t>
        </m:r>
        <m:rad>
          <m:radPr>
            <m:ctrlPr>
              <w:rPr>
                <w:rFonts w:ascii="Cambria Math" w:eastAsiaTheme="minorEastAsia" w:hAnsi="Cambria Math"/>
                <w:i/>
                <w:szCs w:val="24"/>
              </w:rPr>
            </m:ctrlPr>
          </m:radPr>
          <m:deg>
            <m:r>
              <w:rPr>
                <w:rFonts w:ascii="Cambria Math" w:hAnsi="Cambria Math"/>
                <w:szCs w:val="24"/>
              </w:rPr>
              <m:t>2</m:t>
            </m:r>
          </m:deg>
          <m:e>
            <m:nary>
              <m:naryPr>
                <m:chr m:val="∑"/>
                <m:limLoc m:val="undOvr"/>
                <m:ctrlPr>
                  <w:rPr>
                    <w:rFonts w:ascii="Cambria Math" w:eastAsiaTheme="minorEastAsia" w:hAnsi="Cambria Math"/>
                    <w:i/>
                    <w:szCs w:val="24"/>
                  </w:rPr>
                </m:ctrlPr>
              </m:naryPr>
              <m:sub>
                <m:r>
                  <w:rPr>
                    <w:rFonts w:ascii="Cambria Math" w:eastAsiaTheme="minorEastAsia" w:hAnsi="Cambria Math"/>
                    <w:szCs w:val="24"/>
                  </w:rPr>
                  <m:t>j=1</m:t>
                </m:r>
              </m:sub>
              <m:sup>
                <m:r>
                  <w:rPr>
                    <w:rFonts w:ascii="Cambria Math" w:eastAsiaTheme="minorEastAsia" w:hAnsi="Cambria Math"/>
                    <w:szCs w:val="24"/>
                  </w:rPr>
                  <m:t>n</m:t>
                </m:r>
              </m:sup>
              <m:e>
                <m:sSup>
                  <m:sSupPr>
                    <m:ctrlPr>
                      <w:rPr>
                        <w:rFonts w:ascii="Cambria Math" w:eastAsiaTheme="minorEastAsia" w:hAnsi="Cambria Math"/>
                        <w:i/>
                        <w:szCs w:val="24"/>
                      </w:rPr>
                    </m:ctrlPr>
                  </m:sSupPr>
                  <m:e>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ij</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PIS</m:t>
                        </m:r>
                      </m:e>
                      <m:sub>
                        <m:r>
                          <w:rPr>
                            <w:rFonts w:ascii="Cambria Math" w:eastAsiaTheme="minorEastAsia" w:hAnsi="Cambria Math"/>
                            <w:szCs w:val="24"/>
                          </w:rPr>
                          <m:t>j</m:t>
                        </m:r>
                      </m:sub>
                    </m:sSub>
                    <m:r>
                      <w:rPr>
                        <w:rFonts w:ascii="Cambria Math" w:eastAsiaTheme="minorEastAsia" w:hAnsi="Cambria Math"/>
                        <w:szCs w:val="24"/>
                      </w:rPr>
                      <m:t>)</m:t>
                    </m:r>
                  </m:e>
                  <m:sup>
                    <m:r>
                      <w:rPr>
                        <w:rFonts w:ascii="Cambria Math" w:eastAsiaTheme="minorEastAsia" w:hAnsi="Cambria Math"/>
                        <w:szCs w:val="24"/>
                      </w:rPr>
                      <m:t>2</m:t>
                    </m:r>
                  </m:sup>
                </m:sSup>
              </m:e>
            </m:nary>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i</m:t>
                </m:r>
              </m:e>
              <m:sub>
                <m:r>
                  <w:rPr>
                    <w:rFonts w:ascii="Cambria Math" w:eastAsiaTheme="minorEastAsia" w:hAnsi="Cambria Math"/>
                    <w:szCs w:val="24"/>
                  </w:rPr>
                  <m:t>=1,…,m</m:t>
                </m:r>
              </m:sub>
            </m:sSub>
          </m:e>
        </m:rad>
      </m:oMath>
      <w:r w:rsidR="00C81913" w:rsidRPr="00D479E8">
        <w:rPr>
          <w:rFonts w:eastAsiaTheme="minorEastAsia"/>
          <w:szCs w:val="24"/>
        </w:rPr>
        <w:t xml:space="preserve">   </w:t>
      </w:r>
      <w:r w:rsidR="004C1500">
        <w:rPr>
          <w:rFonts w:eastAsiaTheme="minorEastAsia"/>
          <w:szCs w:val="24"/>
        </w:rPr>
        <w:t xml:space="preserve">                                  </w:t>
      </w:r>
      <w:r w:rsidR="00C81913" w:rsidRPr="004C1500">
        <w:rPr>
          <w:rFonts w:eastAsiaTheme="minorEastAsia"/>
          <w:szCs w:val="24"/>
        </w:rPr>
        <w:t>(2-3)</w:t>
      </w:r>
    </w:p>
    <w:p w14:paraId="77903EC0" w14:textId="2FE9D4DD" w:rsidR="00C81913" w:rsidRPr="00D479E8" w:rsidRDefault="009F4F0D" w:rsidP="00A056C1">
      <w:pPr>
        <w:spacing w:line="360" w:lineRule="auto"/>
        <w:jc w:val="cente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disn</m:t>
            </m:r>
          </m:e>
          <m:sub>
            <m:r>
              <w:rPr>
                <w:rFonts w:ascii="Cambria Math" w:eastAsiaTheme="minorEastAsia" w:hAnsi="Cambria Math"/>
                <w:szCs w:val="24"/>
              </w:rPr>
              <m:t>i</m:t>
            </m:r>
          </m:sub>
        </m:sSub>
        <m:r>
          <w:rPr>
            <w:rFonts w:ascii="Cambria Math" w:eastAsiaTheme="minorEastAsia" w:hAnsi="Cambria Math"/>
            <w:szCs w:val="24"/>
          </w:rPr>
          <m:t>=</m:t>
        </m:r>
        <m:rad>
          <m:radPr>
            <m:ctrlPr>
              <w:rPr>
                <w:rFonts w:ascii="Cambria Math" w:eastAsiaTheme="minorEastAsia" w:hAnsi="Cambria Math"/>
                <w:i/>
                <w:szCs w:val="24"/>
              </w:rPr>
            </m:ctrlPr>
          </m:radPr>
          <m:deg>
            <m:r>
              <w:rPr>
                <w:rFonts w:ascii="Cambria Math" w:hAnsi="Cambria Math"/>
                <w:szCs w:val="24"/>
              </w:rPr>
              <m:t>2</m:t>
            </m:r>
          </m:deg>
          <m:e>
            <m:nary>
              <m:naryPr>
                <m:chr m:val="∑"/>
                <m:limLoc m:val="undOvr"/>
                <m:ctrlPr>
                  <w:rPr>
                    <w:rFonts w:ascii="Cambria Math" w:eastAsiaTheme="minorEastAsia" w:hAnsi="Cambria Math"/>
                    <w:i/>
                    <w:szCs w:val="24"/>
                  </w:rPr>
                </m:ctrlPr>
              </m:naryPr>
              <m:sub>
                <m:r>
                  <w:rPr>
                    <w:rFonts w:ascii="Cambria Math" w:eastAsiaTheme="minorEastAsia" w:hAnsi="Cambria Math"/>
                    <w:szCs w:val="24"/>
                  </w:rPr>
                  <m:t>j=1</m:t>
                </m:r>
              </m:sub>
              <m:sup>
                <m:r>
                  <w:rPr>
                    <w:rFonts w:ascii="Cambria Math" w:eastAsiaTheme="minorEastAsia" w:hAnsi="Cambria Math"/>
                    <w:szCs w:val="24"/>
                  </w:rPr>
                  <m:t>n</m:t>
                </m:r>
              </m:sup>
              <m:e>
                <m:sSup>
                  <m:sSupPr>
                    <m:ctrlPr>
                      <w:rPr>
                        <w:rFonts w:ascii="Cambria Math" w:eastAsiaTheme="minorEastAsia" w:hAnsi="Cambria Math"/>
                        <w:i/>
                        <w:szCs w:val="24"/>
                      </w:rPr>
                    </m:ctrlPr>
                  </m:sSupPr>
                  <m:e>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v</m:t>
                        </m:r>
                      </m:e>
                      <m:sub>
                        <m:r>
                          <w:rPr>
                            <w:rFonts w:ascii="Cambria Math" w:eastAsiaTheme="minorEastAsia" w:hAnsi="Cambria Math"/>
                            <w:szCs w:val="24"/>
                          </w:rPr>
                          <m:t>ij</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NIS</m:t>
                        </m:r>
                      </m:e>
                      <m:sub>
                        <m:r>
                          <w:rPr>
                            <w:rFonts w:ascii="Cambria Math" w:eastAsiaTheme="minorEastAsia" w:hAnsi="Cambria Math"/>
                            <w:szCs w:val="24"/>
                          </w:rPr>
                          <m:t>j</m:t>
                        </m:r>
                      </m:sub>
                    </m:sSub>
                    <m:r>
                      <w:rPr>
                        <w:rFonts w:ascii="Cambria Math" w:eastAsiaTheme="minorEastAsia" w:hAnsi="Cambria Math"/>
                        <w:szCs w:val="24"/>
                      </w:rPr>
                      <m:t>)</m:t>
                    </m:r>
                  </m:e>
                  <m:sup>
                    <m:r>
                      <w:rPr>
                        <w:rFonts w:ascii="Cambria Math" w:eastAsiaTheme="minorEastAsia" w:hAnsi="Cambria Math"/>
                        <w:szCs w:val="24"/>
                      </w:rPr>
                      <m:t>2</m:t>
                    </m:r>
                  </m:sup>
                </m:sSup>
              </m:e>
            </m:nary>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i</m:t>
                </m:r>
              </m:e>
              <m:sub>
                <m:r>
                  <w:rPr>
                    <w:rFonts w:ascii="Cambria Math" w:eastAsiaTheme="minorEastAsia" w:hAnsi="Cambria Math"/>
                    <w:szCs w:val="24"/>
                  </w:rPr>
                  <m:t>=1,…,m</m:t>
                </m:r>
              </m:sub>
            </m:sSub>
          </m:e>
        </m:rad>
      </m:oMath>
      <w:r w:rsidR="00C81913" w:rsidRPr="00D479E8">
        <w:rPr>
          <w:rFonts w:eastAsiaTheme="minorEastAsia"/>
          <w:szCs w:val="24"/>
        </w:rPr>
        <w:t xml:space="preserve"> </w:t>
      </w:r>
      <w:r w:rsidR="004C1500">
        <w:rPr>
          <w:rFonts w:eastAsiaTheme="minorEastAsia"/>
          <w:szCs w:val="24"/>
        </w:rPr>
        <w:t xml:space="preserve">                                      </w:t>
      </w:r>
      <w:r w:rsidR="00C81913" w:rsidRPr="004C1500">
        <w:rPr>
          <w:rFonts w:eastAsiaTheme="minorEastAsia"/>
          <w:szCs w:val="24"/>
        </w:rPr>
        <w:t>(2-4)</w:t>
      </w:r>
    </w:p>
    <w:p w14:paraId="73C43AF1" w14:textId="77777777" w:rsidR="00C81913" w:rsidRDefault="00C81913" w:rsidP="00A056C1">
      <w:pPr>
        <w:spacing w:line="360" w:lineRule="auto"/>
        <w:jc w:val="both"/>
        <w:rPr>
          <w:rFonts w:eastAsiaTheme="minorEastAsia"/>
          <w:szCs w:val="24"/>
        </w:rPr>
      </w:pPr>
      <w:r>
        <w:rPr>
          <w:rFonts w:eastAsiaTheme="minorEastAsia"/>
          <w:szCs w:val="24"/>
        </w:rPr>
        <w:tab/>
      </w:r>
      <w:proofErr w:type="spellStart"/>
      <w:r w:rsidRPr="00D479E8">
        <w:rPr>
          <w:rFonts w:eastAsiaTheme="minorEastAsia"/>
          <w:i/>
          <w:iCs/>
          <w:szCs w:val="24"/>
        </w:rPr>
        <w:t>disp</w:t>
      </w:r>
      <w:proofErr w:type="spellEnd"/>
      <w:r>
        <w:rPr>
          <w:rFonts w:eastAsiaTheme="minorEastAsia"/>
          <w:szCs w:val="24"/>
        </w:rPr>
        <w:t xml:space="preserve"> hace referencia a la distancia positiva, y </w:t>
      </w:r>
      <w:proofErr w:type="spellStart"/>
      <w:r w:rsidRPr="00D479E8">
        <w:rPr>
          <w:rFonts w:eastAsiaTheme="minorEastAsia"/>
          <w:i/>
          <w:iCs/>
          <w:szCs w:val="24"/>
        </w:rPr>
        <w:t>disn</w:t>
      </w:r>
      <w:proofErr w:type="spellEnd"/>
      <w:r>
        <w:rPr>
          <w:rFonts w:eastAsiaTheme="minorEastAsia"/>
          <w:szCs w:val="24"/>
        </w:rPr>
        <w:t xml:space="preserve"> hace referencia a la distancia negativa.</w:t>
      </w:r>
    </w:p>
    <w:p w14:paraId="4A161EAB" w14:textId="562E05A3" w:rsidR="00C81913" w:rsidRDefault="00C81913" w:rsidP="00A056C1">
      <w:pPr>
        <w:pStyle w:val="Prrafodelista"/>
        <w:numPr>
          <w:ilvl w:val="0"/>
          <w:numId w:val="22"/>
        </w:numPr>
        <w:spacing w:before="0" w:after="160" w:line="360" w:lineRule="auto"/>
        <w:jc w:val="both"/>
        <w:rPr>
          <w:rFonts w:eastAsiaTheme="minorEastAsia"/>
          <w:szCs w:val="24"/>
        </w:rPr>
      </w:pPr>
      <w:r>
        <w:rPr>
          <w:rFonts w:eastAsiaTheme="minorEastAsia"/>
          <w:szCs w:val="24"/>
        </w:rPr>
        <w:t>Paso 6</w:t>
      </w:r>
      <w:r w:rsidR="004C1500">
        <w:rPr>
          <w:rFonts w:eastAsiaTheme="minorEastAsia"/>
          <w:szCs w:val="24"/>
        </w:rPr>
        <w:t>:</w:t>
      </w:r>
      <w:r>
        <w:rPr>
          <w:rFonts w:eastAsiaTheme="minorEastAsia"/>
          <w:szCs w:val="24"/>
        </w:rPr>
        <w:t xml:space="preserve"> </w:t>
      </w:r>
      <w:r w:rsidR="004C1500">
        <w:rPr>
          <w:rFonts w:eastAsiaTheme="minorEastAsia"/>
          <w:szCs w:val="24"/>
        </w:rPr>
        <w:t>c</w:t>
      </w:r>
      <w:r>
        <w:rPr>
          <w:rFonts w:eastAsiaTheme="minorEastAsia"/>
          <w:szCs w:val="24"/>
        </w:rPr>
        <w:t>álculo de proximidad relativa a la solución ideal: en este paso, se combina la distancia de cada alternativa a la solución ideal, y de igual modo se cancela la distancia a la solución menos ideal y con este cálculo se determina la mejor opción, con la siguiente fórmula:</w:t>
      </w:r>
    </w:p>
    <w:p w14:paraId="4DA36E59" w14:textId="41A8E948" w:rsidR="00C81913" w:rsidRPr="00D479E8" w:rsidRDefault="009F4F0D" w:rsidP="00A056C1">
      <w:pPr>
        <w:spacing w:line="360" w:lineRule="auto"/>
        <w:jc w:val="center"/>
        <w:rPr>
          <w:rFonts w:eastAsiaTheme="minorEastAsia"/>
          <w:szCs w:val="24"/>
        </w:rPr>
      </w:pPr>
      <m:oMath>
        <m:sSub>
          <m:sSubPr>
            <m:ctrlPr>
              <w:rPr>
                <w:rFonts w:ascii="Cambria Math" w:eastAsiaTheme="minorEastAsia" w:hAnsi="Cambria Math"/>
                <w:i/>
                <w:szCs w:val="24"/>
              </w:rPr>
            </m:ctrlPr>
          </m:sSubPr>
          <m:e>
            <m:r>
              <w:rPr>
                <w:rFonts w:ascii="Cambria Math" w:eastAsiaTheme="minorEastAsia" w:hAnsi="Cambria Math"/>
                <w:szCs w:val="24"/>
              </w:rPr>
              <m:t>R</m:t>
            </m:r>
          </m:e>
          <m:sub>
            <m:r>
              <w:rPr>
                <w:rFonts w:ascii="Cambria Math" w:eastAsiaTheme="minorEastAsia" w:hAnsi="Cambria Math"/>
                <w:szCs w:val="24"/>
              </w:rPr>
              <m:t>i</m:t>
            </m:r>
          </m:sub>
        </m:sSub>
        <m:r>
          <w:rPr>
            <w:rFonts w:ascii="Cambria Math" w:eastAsiaTheme="minorEastAsia" w:hAnsi="Cambria Math"/>
            <w:szCs w:val="24"/>
          </w:rPr>
          <m:t>=</m:t>
        </m:r>
        <m:f>
          <m:fPr>
            <m:ctrlPr>
              <w:rPr>
                <w:rFonts w:ascii="Cambria Math" w:eastAsiaTheme="minorEastAsia" w:hAnsi="Cambria Math"/>
                <w:i/>
                <w:szCs w:val="24"/>
              </w:rPr>
            </m:ctrlPr>
          </m:fPr>
          <m:num>
            <m:sSub>
              <m:sSubPr>
                <m:ctrlPr>
                  <w:rPr>
                    <w:rFonts w:ascii="Cambria Math" w:eastAsiaTheme="minorEastAsia" w:hAnsi="Cambria Math"/>
                    <w:i/>
                    <w:szCs w:val="24"/>
                  </w:rPr>
                </m:ctrlPr>
              </m:sSubPr>
              <m:e>
                <m:r>
                  <w:rPr>
                    <w:rFonts w:ascii="Cambria Math" w:eastAsiaTheme="minorEastAsia" w:hAnsi="Cambria Math"/>
                    <w:szCs w:val="24"/>
                  </w:rPr>
                  <m:t>disn</m:t>
                </m:r>
              </m:e>
              <m:sub>
                <m:r>
                  <w:rPr>
                    <w:rFonts w:ascii="Cambria Math" w:eastAsiaTheme="minorEastAsia" w:hAnsi="Cambria Math"/>
                    <w:szCs w:val="24"/>
                  </w:rPr>
                  <m:t>i</m:t>
                </m:r>
              </m:sub>
            </m:sSub>
          </m:num>
          <m:den>
            <m:sSub>
              <m:sSubPr>
                <m:ctrlPr>
                  <w:rPr>
                    <w:rFonts w:ascii="Cambria Math" w:eastAsiaTheme="minorEastAsia" w:hAnsi="Cambria Math"/>
                    <w:i/>
                    <w:szCs w:val="24"/>
                  </w:rPr>
                </m:ctrlPr>
              </m:sSubPr>
              <m:e>
                <m:r>
                  <w:rPr>
                    <w:rFonts w:ascii="Cambria Math" w:eastAsiaTheme="minorEastAsia" w:hAnsi="Cambria Math"/>
                    <w:szCs w:val="24"/>
                  </w:rPr>
                  <m:t>disp</m:t>
                </m:r>
              </m:e>
              <m:sub>
                <m:r>
                  <w:rPr>
                    <w:rFonts w:ascii="Cambria Math" w:eastAsiaTheme="minorEastAsia" w:hAnsi="Cambria Math"/>
                    <w:szCs w:val="24"/>
                  </w:rPr>
                  <m:t>i</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disn</m:t>
                </m:r>
              </m:e>
              <m:sub>
                <m:r>
                  <w:rPr>
                    <w:rFonts w:ascii="Cambria Math" w:eastAsiaTheme="minorEastAsia" w:hAnsi="Cambria Math"/>
                    <w:szCs w:val="24"/>
                  </w:rPr>
                  <m:t>i</m:t>
                </m:r>
              </m:sub>
            </m:sSub>
          </m:den>
        </m:f>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i</m:t>
            </m:r>
          </m:e>
          <m:sub>
            <m:r>
              <w:rPr>
                <w:rFonts w:ascii="Cambria Math" w:eastAsiaTheme="minorEastAsia" w:hAnsi="Cambria Math"/>
                <w:szCs w:val="24"/>
              </w:rPr>
              <m:t>=1,…,m</m:t>
            </m:r>
          </m:sub>
        </m:sSub>
        <m:r>
          <w:rPr>
            <w:rFonts w:ascii="Cambria Math" w:eastAsiaTheme="minorEastAsia" w:hAnsi="Cambria Math"/>
            <w:szCs w:val="24"/>
          </w:rPr>
          <m:t xml:space="preserve"> </m:t>
        </m:r>
      </m:oMath>
      <w:r w:rsidR="00C81913" w:rsidRPr="00D479E8">
        <w:rPr>
          <w:rFonts w:eastAsiaTheme="minorEastAsia"/>
          <w:szCs w:val="24"/>
        </w:rPr>
        <w:t xml:space="preserve"> </w:t>
      </w:r>
      <w:r w:rsidR="004C1500">
        <w:rPr>
          <w:rFonts w:eastAsiaTheme="minorEastAsia"/>
          <w:szCs w:val="24"/>
        </w:rPr>
        <w:t xml:space="preserve">                                         </w:t>
      </w:r>
      <w:r w:rsidR="00C81913" w:rsidRPr="004C1500">
        <w:rPr>
          <w:rFonts w:eastAsiaTheme="minorEastAsia"/>
          <w:szCs w:val="24"/>
        </w:rPr>
        <w:t>(2-5)</w:t>
      </w:r>
    </w:p>
    <w:p w14:paraId="57E48B3E" w14:textId="0D21B9F7" w:rsidR="00C81913" w:rsidRDefault="00C81913" w:rsidP="00A056C1">
      <w:pPr>
        <w:pStyle w:val="Prrafodelista"/>
        <w:numPr>
          <w:ilvl w:val="0"/>
          <w:numId w:val="22"/>
        </w:numPr>
        <w:spacing w:before="0" w:after="160" w:line="360" w:lineRule="auto"/>
        <w:jc w:val="both"/>
        <w:rPr>
          <w:rFonts w:eastAsiaTheme="minorEastAsia"/>
          <w:szCs w:val="24"/>
        </w:rPr>
      </w:pPr>
      <w:r>
        <w:rPr>
          <w:rFonts w:eastAsiaTheme="minorEastAsia"/>
          <w:szCs w:val="24"/>
        </w:rPr>
        <w:t>Paso 7: selección de la alternativa. Por último, se selecciona aquella alternativa cuyo valor R sea más alto (puesto que tiene mayor proximidad a la solución relativa ideal). Se ponen las alternativas en orden, y de esta manera se sabe cuál es la mejor alternativa (la más ideal) y cuál es la menos ideal.</w:t>
      </w:r>
    </w:p>
    <w:p w14:paraId="248CCFE0" w14:textId="77777777" w:rsidR="001D6395" w:rsidRPr="00D61089" w:rsidRDefault="001D6395" w:rsidP="00A056C1">
      <w:pPr>
        <w:pStyle w:val="Prrafodelista"/>
        <w:numPr>
          <w:ilvl w:val="0"/>
          <w:numId w:val="22"/>
        </w:numPr>
        <w:spacing w:before="0" w:after="160" w:line="360" w:lineRule="auto"/>
        <w:jc w:val="both"/>
        <w:rPr>
          <w:rFonts w:eastAsiaTheme="minorEastAsia"/>
          <w:szCs w:val="24"/>
        </w:rPr>
      </w:pPr>
    </w:p>
    <w:p w14:paraId="366E2044" w14:textId="77777777" w:rsidR="00D524D0" w:rsidRPr="00F55522" w:rsidRDefault="00D524D0" w:rsidP="00A056C1">
      <w:pPr>
        <w:pStyle w:val="Ttulo2"/>
        <w:jc w:val="both"/>
      </w:pPr>
      <w:bookmarkStart w:id="24" w:name="_Toc149994750"/>
      <w:r w:rsidRPr="00F55522">
        <w:t>Diseño de matriz de riesgos</w:t>
      </w:r>
      <w:bookmarkEnd w:id="24"/>
    </w:p>
    <w:p w14:paraId="39D89989" w14:textId="145FF0FB"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Para el segundo objetivo se determin</w:t>
      </w:r>
      <w:r w:rsidR="000D1A33">
        <w:rPr>
          <w:rFonts w:cs="Arial"/>
          <w:i w:val="0"/>
          <w:iCs/>
          <w:color w:val="auto"/>
          <w:sz w:val="24"/>
          <w:szCs w:val="22"/>
        </w:rPr>
        <w:t>ó</w:t>
      </w:r>
      <w:r w:rsidRPr="00F55522">
        <w:rPr>
          <w:rFonts w:cs="Arial"/>
          <w:i w:val="0"/>
          <w:iCs/>
          <w:color w:val="auto"/>
          <w:sz w:val="24"/>
          <w:szCs w:val="22"/>
        </w:rPr>
        <w:t xml:space="preserve"> tanto la </w:t>
      </w:r>
      <w:r w:rsidR="004C1500">
        <w:rPr>
          <w:rFonts w:cs="Arial"/>
          <w:i w:val="0"/>
          <w:iCs/>
          <w:color w:val="auto"/>
          <w:sz w:val="24"/>
          <w:szCs w:val="22"/>
        </w:rPr>
        <w:t>probabilidad,</w:t>
      </w:r>
      <w:r w:rsidRPr="00F55522">
        <w:rPr>
          <w:rFonts w:cs="Arial"/>
          <w:i w:val="0"/>
          <w:iCs/>
          <w:color w:val="auto"/>
          <w:sz w:val="24"/>
          <w:szCs w:val="22"/>
        </w:rPr>
        <w:t xml:space="preserve"> como </w:t>
      </w:r>
      <w:r w:rsidR="004C1500">
        <w:rPr>
          <w:rFonts w:cs="Arial"/>
          <w:i w:val="0"/>
          <w:iCs/>
          <w:color w:val="auto"/>
          <w:sz w:val="24"/>
          <w:szCs w:val="22"/>
        </w:rPr>
        <w:t>el impacto</w:t>
      </w:r>
      <w:r w:rsidRPr="00F55522">
        <w:rPr>
          <w:rFonts w:cs="Arial"/>
          <w:i w:val="0"/>
          <w:iCs/>
          <w:color w:val="auto"/>
          <w:sz w:val="24"/>
          <w:szCs w:val="22"/>
        </w:rPr>
        <w:t xml:space="preserve"> de l</w:t>
      </w:r>
      <w:r w:rsidR="00D109B3">
        <w:rPr>
          <w:rFonts w:cs="Arial"/>
          <w:i w:val="0"/>
          <w:iCs/>
          <w:color w:val="auto"/>
          <w:sz w:val="24"/>
          <w:szCs w:val="22"/>
        </w:rPr>
        <w:t>os eventos de riesgo</w:t>
      </w:r>
      <w:r w:rsidRPr="00F55522">
        <w:rPr>
          <w:rFonts w:cs="Arial"/>
          <w:i w:val="0"/>
          <w:iCs/>
          <w:color w:val="auto"/>
          <w:sz w:val="24"/>
          <w:szCs w:val="22"/>
        </w:rPr>
        <w:t>. Se busc</w:t>
      </w:r>
      <w:r w:rsidR="000D1A33">
        <w:rPr>
          <w:rFonts w:cs="Arial"/>
          <w:i w:val="0"/>
          <w:iCs/>
          <w:color w:val="auto"/>
          <w:sz w:val="24"/>
          <w:szCs w:val="22"/>
        </w:rPr>
        <w:t>ó</w:t>
      </w:r>
      <w:r w:rsidRPr="00F55522">
        <w:rPr>
          <w:rFonts w:cs="Arial"/>
          <w:i w:val="0"/>
          <w:iCs/>
          <w:color w:val="auto"/>
          <w:sz w:val="24"/>
          <w:szCs w:val="22"/>
        </w:rPr>
        <w:t xml:space="preserve"> entonces </w:t>
      </w:r>
      <w:r w:rsidR="00F03F25">
        <w:rPr>
          <w:rFonts w:cs="Arial"/>
          <w:i w:val="0"/>
          <w:iCs/>
          <w:color w:val="auto"/>
          <w:sz w:val="24"/>
          <w:szCs w:val="22"/>
        </w:rPr>
        <w:t>un</w:t>
      </w:r>
      <w:r w:rsidR="00F03F25" w:rsidRPr="00F55522">
        <w:rPr>
          <w:rFonts w:cs="Arial"/>
          <w:i w:val="0"/>
          <w:iCs/>
          <w:color w:val="auto"/>
          <w:sz w:val="24"/>
          <w:szCs w:val="22"/>
        </w:rPr>
        <w:t xml:space="preserve"> </w:t>
      </w:r>
      <w:r w:rsidRPr="00F55522">
        <w:rPr>
          <w:rFonts w:cs="Arial"/>
          <w:i w:val="0"/>
          <w:iCs/>
          <w:color w:val="auto"/>
          <w:sz w:val="24"/>
          <w:szCs w:val="22"/>
        </w:rPr>
        <w:t>modelo o herramienta que permit</w:t>
      </w:r>
      <w:r w:rsidR="00F03F25">
        <w:rPr>
          <w:rFonts w:cs="Arial"/>
          <w:i w:val="0"/>
          <w:iCs/>
          <w:color w:val="auto"/>
          <w:sz w:val="24"/>
          <w:szCs w:val="22"/>
        </w:rPr>
        <w:t>iera</w:t>
      </w:r>
      <w:r w:rsidRPr="00F55522">
        <w:rPr>
          <w:rFonts w:cs="Arial"/>
          <w:i w:val="0"/>
          <w:iCs/>
          <w:color w:val="auto"/>
          <w:sz w:val="24"/>
          <w:szCs w:val="22"/>
        </w:rPr>
        <w:t xml:space="preserve"> aproximar </w:t>
      </w:r>
      <w:r w:rsidR="004C1500">
        <w:rPr>
          <w:rFonts w:cs="Arial"/>
          <w:i w:val="0"/>
          <w:iCs/>
          <w:color w:val="auto"/>
          <w:sz w:val="24"/>
          <w:szCs w:val="22"/>
        </w:rPr>
        <w:t>probabilidad</w:t>
      </w:r>
      <w:r w:rsidR="004C1500" w:rsidRPr="00F55522">
        <w:rPr>
          <w:rFonts w:cs="Arial"/>
          <w:i w:val="0"/>
          <w:iCs/>
          <w:color w:val="auto"/>
          <w:sz w:val="24"/>
          <w:szCs w:val="22"/>
        </w:rPr>
        <w:t xml:space="preserve"> </w:t>
      </w:r>
      <w:r w:rsidRPr="00F55522">
        <w:rPr>
          <w:rFonts w:cs="Arial"/>
          <w:i w:val="0"/>
          <w:iCs/>
          <w:color w:val="auto"/>
          <w:sz w:val="24"/>
          <w:szCs w:val="22"/>
        </w:rPr>
        <w:t xml:space="preserve">y </w:t>
      </w:r>
      <w:r w:rsidR="004C1500">
        <w:rPr>
          <w:rFonts w:cs="Arial"/>
          <w:i w:val="0"/>
          <w:iCs/>
          <w:color w:val="auto"/>
          <w:sz w:val="24"/>
          <w:szCs w:val="22"/>
        </w:rPr>
        <w:t>el impacto</w:t>
      </w:r>
      <w:r w:rsidRPr="00F55522">
        <w:rPr>
          <w:rFonts w:cs="Arial"/>
          <w:i w:val="0"/>
          <w:iCs/>
          <w:color w:val="auto"/>
          <w:sz w:val="24"/>
          <w:szCs w:val="22"/>
        </w:rPr>
        <w:t xml:space="preserve"> de las variables con un sustento </w:t>
      </w:r>
      <w:r w:rsidR="00D109B3">
        <w:rPr>
          <w:rFonts w:cs="Arial"/>
          <w:i w:val="0"/>
          <w:iCs/>
          <w:color w:val="auto"/>
          <w:sz w:val="24"/>
          <w:szCs w:val="22"/>
        </w:rPr>
        <w:t>científico</w:t>
      </w:r>
      <w:r w:rsidRPr="00F55522">
        <w:rPr>
          <w:rFonts w:cs="Arial"/>
          <w:i w:val="0"/>
          <w:iCs/>
          <w:color w:val="auto"/>
          <w:sz w:val="24"/>
          <w:szCs w:val="22"/>
        </w:rPr>
        <w:t xml:space="preserve">. Esto se </w:t>
      </w:r>
      <w:r w:rsidR="000D1A33">
        <w:rPr>
          <w:rFonts w:cs="Arial"/>
          <w:i w:val="0"/>
          <w:iCs/>
          <w:color w:val="auto"/>
          <w:sz w:val="24"/>
          <w:szCs w:val="22"/>
        </w:rPr>
        <w:t>logró</w:t>
      </w:r>
      <w:r w:rsidRPr="00F55522">
        <w:rPr>
          <w:rFonts w:cs="Arial"/>
          <w:i w:val="0"/>
          <w:iCs/>
          <w:color w:val="auto"/>
          <w:sz w:val="24"/>
          <w:szCs w:val="22"/>
        </w:rPr>
        <w:t xml:space="preserve"> por medio del uso de la información recolectada en el </w:t>
      </w:r>
      <w:r w:rsidR="00F03F25">
        <w:rPr>
          <w:rFonts w:cs="Arial"/>
          <w:i w:val="0"/>
          <w:iCs/>
          <w:color w:val="auto"/>
          <w:sz w:val="24"/>
          <w:szCs w:val="22"/>
        </w:rPr>
        <w:t>epígrafe</w:t>
      </w:r>
      <w:r w:rsidR="00F03F25" w:rsidRPr="00F55522">
        <w:rPr>
          <w:rFonts w:cs="Arial"/>
          <w:i w:val="0"/>
          <w:iCs/>
          <w:color w:val="auto"/>
          <w:sz w:val="24"/>
          <w:szCs w:val="22"/>
        </w:rPr>
        <w:t xml:space="preserve"> </w:t>
      </w:r>
      <w:r w:rsidRPr="00F55522">
        <w:rPr>
          <w:rFonts w:cs="Arial"/>
          <w:i w:val="0"/>
          <w:iCs/>
          <w:color w:val="auto"/>
          <w:sz w:val="24"/>
          <w:szCs w:val="22"/>
        </w:rPr>
        <w:t xml:space="preserve">anterior, donde, con el uso de esos datos encontrados </w:t>
      </w:r>
      <w:r w:rsidR="000D1A33">
        <w:rPr>
          <w:rFonts w:cs="Arial"/>
          <w:i w:val="0"/>
          <w:iCs/>
          <w:color w:val="auto"/>
          <w:sz w:val="24"/>
          <w:szCs w:val="22"/>
        </w:rPr>
        <w:t>fue</w:t>
      </w:r>
      <w:r w:rsidRPr="00F55522">
        <w:rPr>
          <w:rFonts w:cs="Arial"/>
          <w:i w:val="0"/>
          <w:iCs/>
          <w:color w:val="auto"/>
          <w:sz w:val="24"/>
          <w:szCs w:val="22"/>
        </w:rPr>
        <w:t xml:space="preserve"> m</w:t>
      </w:r>
      <w:r w:rsidR="00107A93">
        <w:rPr>
          <w:rFonts w:cs="Arial"/>
          <w:i w:val="0"/>
          <w:iCs/>
          <w:color w:val="auto"/>
          <w:sz w:val="24"/>
          <w:szCs w:val="22"/>
        </w:rPr>
        <w:t>á</w:t>
      </w:r>
      <w:r w:rsidRPr="00F55522">
        <w:rPr>
          <w:rFonts w:cs="Arial"/>
          <w:i w:val="0"/>
          <w:iCs/>
          <w:color w:val="auto"/>
          <w:sz w:val="24"/>
          <w:szCs w:val="22"/>
        </w:rPr>
        <w:t>s sencillo realizar un cálculo de frecuencia y severidad.</w:t>
      </w:r>
    </w:p>
    <w:p w14:paraId="4586E586" w14:textId="794F36F7"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lastRenderedPageBreak/>
        <w:t xml:space="preserve">Luego, se </w:t>
      </w:r>
      <w:r w:rsidR="000D1A33">
        <w:rPr>
          <w:rFonts w:cs="Arial"/>
          <w:i w:val="0"/>
          <w:iCs/>
          <w:color w:val="auto"/>
          <w:sz w:val="24"/>
          <w:szCs w:val="22"/>
        </w:rPr>
        <w:t>procedió</w:t>
      </w:r>
      <w:r w:rsidRPr="00F55522">
        <w:rPr>
          <w:rFonts w:cs="Arial"/>
          <w:i w:val="0"/>
          <w:iCs/>
          <w:color w:val="auto"/>
          <w:sz w:val="24"/>
          <w:szCs w:val="22"/>
        </w:rPr>
        <w:t xml:space="preserve"> a valorar los riesgos. Se constru</w:t>
      </w:r>
      <w:r w:rsidR="000D1A33">
        <w:rPr>
          <w:rFonts w:cs="Arial"/>
          <w:i w:val="0"/>
          <w:iCs/>
          <w:color w:val="auto"/>
          <w:sz w:val="24"/>
          <w:szCs w:val="22"/>
        </w:rPr>
        <w:t>yó</w:t>
      </w:r>
      <w:r w:rsidRPr="00F55522">
        <w:rPr>
          <w:rFonts w:cs="Arial"/>
          <w:i w:val="0"/>
          <w:iCs/>
          <w:color w:val="auto"/>
          <w:sz w:val="24"/>
          <w:szCs w:val="22"/>
        </w:rPr>
        <w:t xml:space="preserve"> una escala de riesgos, para categorizar cuantitativamente</w:t>
      </w:r>
      <w:r w:rsidR="001A2B85">
        <w:rPr>
          <w:rFonts w:cs="Arial"/>
          <w:i w:val="0"/>
          <w:iCs/>
          <w:color w:val="auto"/>
          <w:sz w:val="24"/>
          <w:szCs w:val="22"/>
        </w:rPr>
        <w:t xml:space="preserve"> el impacto en una escala de </w:t>
      </w:r>
      <w:r w:rsidR="00D479E8">
        <w:rPr>
          <w:rFonts w:cs="Arial"/>
          <w:i w:val="0"/>
          <w:iCs/>
          <w:color w:val="auto"/>
          <w:sz w:val="24"/>
          <w:szCs w:val="22"/>
        </w:rPr>
        <w:t>cinco criterios</w:t>
      </w:r>
      <w:r w:rsidR="001A2B85">
        <w:rPr>
          <w:rFonts w:cs="Arial"/>
          <w:i w:val="0"/>
          <w:iCs/>
          <w:color w:val="auto"/>
          <w:sz w:val="24"/>
          <w:szCs w:val="22"/>
        </w:rPr>
        <w:t>:</w:t>
      </w:r>
      <w:r w:rsidRPr="00F55522">
        <w:rPr>
          <w:rFonts w:cs="Arial"/>
          <w:i w:val="0"/>
          <w:iCs/>
          <w:color w:val="auto"/>
          <w:sz w:val="24"/>
          <w:szCs w:val="22"/>
        </w:rPr>
        <w:t xml:space="preserve"> bajo, medio</w:t>
      </w:r>
      <w:r w:rsidR="001A2B85">
        <w:rPr>
          <w:rFonts w:cs="Arial"/>
          <w:i w:val="0"/>
          <w:iCs/>
          <w:color w:val="auto"/>
          <w:sz w:val="24"/>
          <w:szCs w:val="22"/>
        </w:rPr>
        <w:t>-bajo</w:t>
      </w:r>
      <w:r w:rsidRPr="00F55522">
        <w:rPr>
          <w:rFonts w:cs="Arial"/>
          <w:i w:val="0"/>
          <w:iCs/>
          <w:color w:val="auto"/>
          <w:sz w:val="24"/>
          <w:szCs w:val="22"/>
        </w:rPr>
        <w:t xml:space="preserve">, </w:t>
      </w:r>
      <w:r w:rsidR="001A2B85">
        <w:rPr>
          <w:rFonts w:cs="Arial"/>
          <w:i w:val="0"/>
          <w:iCs/>
          <w:color w:val="auto"/>
          <w:sz w:val="24"/>
          <w:szCs w:val="22"/>
        </w:rPr>
        <w:t>medio, medio-</w:t>
      </w:r>
      <w:r w:rsidRPr="00F55522">
        <w:rPr>
          <w:rFonts w:cs="Arial"/>
          <w:i w:val="0"/>
          <w:iCs/>
          <w:color w:val="auto"/>
          <w:sz w:val="24"/>
          <w:szCs w:val="22"/>
        </w:rPr>
        <w:t>alto</w:t>
      </w:r>
      <w:r w:rsidR="001A2B85">
        <w:rPr>
          <w:rFonts w:cs="Arial"/>
          <w:i w:val="0"/>
          <w:iCs/>
          <w:color w:val="auto"/>
          <w:sz w:val="24"/>
          <w:szCs w:val="22"/>
        </w:rPr>
        <w:t xml:space="preserve"> y alto</w:t>
      </w:r>
      <w:r w:rsidRPr="00F55522">
        <w:rPr>
          <w:rFonts w:cs="Arial"/>
          <w:i w:val="0"/>
          <w:iCs/>
          <w:color w:val="auto"/>
          <w:sz w:val="24"/>
          <w:szCs w:val="22"/>
        </w:rPr>
        <w:t>. La validez y precisión de la categorización depend</w:t>
      </w:r>
      <w:r w:rsidR="000D1A33">
        <w:rPr>
          <w:rFonts w:cs="Arial"/>
          <w:i w:val="0"/>
          <w:iCs/>
          <w:color w:val="auto"/>
          <w:sz w:val="24"/>
          <w:szCs w:val="22"/>
        </w:rPr>
        <w:t>ió</w:t>
      </w:r>
      <w:r w:rsidRPr="00F55522">
        <w:rPr>
          <w:rFonts w:cs="Arial"/>
          <w:i w:val="0"/>
          <w:iCs/>
          <w:color w:val="auto"/>
          <w:sz w:val="24"/>
          <w:szCs w:val="22"/>
        </w:rPr>
        <w:t xml:space="preserve"> en gran medida de la consecución y ejecución de los objetivos posteriores. </w:t>
      </w:r>
      <w:r w:rsidR="000D1A33">
        <w:rPr>
          <w:rFonts w:cs="Arial"/>
          <w:i w:val="0"/>
          <w:iCs/>
          <w:color w:val="auto"/>
          <w:sz w:val="24"/>
          <w:szCs w:val="22"/>
        </w:rPr>
        <w:t>Fue</w:t>
      </w:r>
      <w:r w:rsidRPr="00F55522">
        <w:rPr>
          <w:rFonts w:cs="Arial"/>
          <w:i w:val="0"/>
          <w:iCs/>
          <w:color w:val="auto"/>
          <w:sz w:val="24"/>
          <w:szCs w:val="22"/>
        </w:rPr>
        <w:t xml:space="preserve"> también importante una validación de los rangos por medio de una investigación en la literatura donde se haya llevado a cabo un ejercicio similar</w:t>
      </w:r>
      <w:r w:rsidR="00D109B3">
        <w:rPr>
          <w:rFonts w:cs="Arial"/>
          <w:i w:val="0"/>
          <w:iCs/>
          <w:color w:val="auto"/>
          <w:sz w:val="24"/>
          <w:szCs w:val="22"/>
        </w:rPr>
        <w:t xml:space="preserve"> </w:t>
      </w:r>
      <w:r w:rsidR="00D109B3">
        <w:rPr>
          <w:rFonts w:cs="Arial"/>
          <w:i w:val="0"/>
          <w:iCs/>
          <w:color w:val="auto"/>
          <w:sz w:val="24"/>
          <w:szCs w:val="22"/>
        </w:rPr>
        <w:fldChar w:fldCharType="begin" w:fldLock="1"/>
      </w:r>
      <w:r w:rsidR="00837846">
        <w:rPr>
          <w:rFonts w:cs="Arial"/>
          <w:i w:val="0"/>
          <w:iCs/>
          <w:color w:val="auto"/>
          <w:sz w:val="24"/>
          <w:szCs w:val="22"/>
        </w:rPr>
        <w:instrText>ADDIN CSL_CITATION {"citationItems":[{"id":"ITEM-1","itemData":{"ISBN":"9788490225370","author":[{"dropping-particle":"","family":"Argos","given":"","non-dropping-particle":"","parse-names":false,"suffix":""}],"id":"ITEM-1","issued":{"date-parts":[["2021"]]},"title":"climate change risks and opportunities based on TCFD recommendations","type":"article-journal"},"uris":["http://www.mendeley.com/documents/?uuid=0697886f-5ba5-43dc-8b90-27f6372df6a2"]}],"mendeley":{"formattedCitation":"(Argos, 2021)","plainTextFormattedCitation":"(Argos, 2021)","previouslyFormattedCitation":"(Argos, 2021)"},"properties":{"noteIndex":0},"schema":"https://github.com/citation-style-language/schema/raw/master/csl-citation.json"}</w:instrText>
      </w:r>
      <w:r w:rsidR="00D109B3">
        <w:rPr>
          <w:rFonts w:cs="Arial"/>
          <w:i w:val="0"/>
          <w:iCs/>
          <w:color w:val="auto"/>
          <w:sz w:val="24"/>
          <w:szCs w:val="22"/>
        </w:rPr>
        <w:fldChar w:fldCharType="separate"/>
      </w:r>
      <w:r w:rsidR="00D109B3" w:rsidRPr="00D109B3">
        <w:rPr>
          <w:rFonts w:cs="Arial"/>
          <w:i w:val="0"/>
          <w:iCs/>
          <w:noProof/>
          <w:color w:val="auto"/>
          <w:sz w:val="24"/>
          <w:szCs w:val="22"/>
        </w:rPr>
        <w:t>(Argos, 2021)</w:t>
      </w:r>
      <w:r w:rsidR="00D109B3">
        <w:rPr>
          <w:rFonts w:cs="Arial"/>
          <w:i w:val="0"/>
          <w:iCs/>
          <w:color w:val="auto"/>
          <w:sz w:val="24"/>
          <w:szCs w:val="22"/>
        </w:rPr>
        <w:fldChar w:fldCharType="end"/>
      </w:r>
      <w:r w:rsidRPr="00F55522">
        <w:rPr>
          <w:rFonts w:cs="Arial"/>
          <w:i w:val="0"/>
          <w:iCs/>
          <w:color w:val="auto"/>
          <w:sz w:val="24"/>
          <w:szCs w:val="22"/>
        </w:rPr>
        <w:t>.</w:t>
      </w:r>
    </w:p>
    <w:p w14:paraId="63202DD4" w14:textId="37F0EE7A" w:rsidR="00D524D0" w:rsidRPr="00F55522"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Finalizando el segundo objetivo específico, se </w:t>
      </w:r>
      <w:r w:rsidR="000D1A33">
        <w:rPr>
          <w:rFonts w:cs="Arial"/>
          <w:i w:val="0"/>
          <w:iCs/>
          <w:color w:val="auto"/>
          <w:sz w:val="24"/>
          <w:szCs w:val="22"/>
        </w:rPr>
        <w:t>construyó</w:t>
      </w:r>
      <w:r w:rsidRPr="00F55522">
        <w:rPr>
          <w:rFonts w:cs="Arial"/>
          <w:i w:val="0"/>
          <w:iCs/>
          <w:color w:val="auto"/>
          <w:sz w:val="24"/>
          <w:szCs w:val="22"/>
        </w:rPr>
        <w:t xml:space="preserve"> la matriz de riesgos, según las escalas de rangos elaboradas. En esta matriz de riesgos, se </w:t>
      </w:r>
      <w:r w:rsidR="000D1A33">
        <w:rPr>
          <w:rFonts w:cs="Arial"/>
          <w:i w:val="0"/>
          <w:iCs/>
          <w:color w:val="auto"/>
          <w:sz w:val="24"/>
          <w:szCs w:val="22"/>
        </w:rPr>
        <w:t>identificaron</w:t>
      </w:r>
      <w:r w:rsidR="001A2B85">
        <w:rPr>
          <w:rFonts w:cs="Arial"/>
          <w:i w:val="0"/>
          <w:iCs/>
          <w:color w:val="auto"/>
          <w:sz w:val="24"/>
          <w:szCs w:val="22"/>
        </w:rPr>
        <w:t xml:space="preserve"> cuatro niveles</w:t>
      </w:r>
      <w:r w:rsidRPr="00F55522">
        <w:rPr>
          <w:rFonts w:cs="Arial"/>
          <w:i w:val="0"/>
          <w:iCs/>
          <w:color w:val="auto"/>
          <w:sz w:val="24"/>
          <w:szCs w:val="22"/>
        </w:rPr>
        <w:t xml:space="preserve"> de riesgo (</w:t>
      </w:r>
      <w:r w:rsidR="001A2B85">
        <w:rPr>
          <w:rFonts w:cs="Arial"/>
          <w:i w:val="0"/>
          <w:iCs/>
          <w:color w:val="auto"/>
          <w:sz w:val="24"/>
          <w:szCs w:val="22"/>
        </w:rPr>
        <w:t xml:space="preserve">bajo, medio, </w:t>
      </w:r>
      <w:r w:rsidRPr="00F55522">
        <w:rPr>
          <w:rFonts w:cs="Arial"/>
          <w:i w:val="0"/>
          <w:iCs/>
          <w:color w:val="auto"/>
          <w:sz w:val="24"/>
          <w:szCs w:val="22"/>
        </w:rPr>
        <w:t>alto</w:t>
      </w:r>
      <w:r w:rsidR="001A2B85">
        <w:rPr>
          <w:rFonts w:cs="Arial"/>
          <w:i w:val="0"/>
          <w:iCs/>
          <w:color w:val="auto"/>
          <w:sz w:val="24"/>
          <w:szCs w:val="22"/>
        </w:rPr>
        <w:t xml:space="preserve"> y crítico</w:t>
      </w:r>
      <w:r w:rsidRPr="00F55522">
        <w:rPr>
          <w:rFonts w:cs="Arial"/>
          <w:i w:val="0"/>
          <w:iCs/>
          <w:color w:val="auto"/>
          <w:sz w:val="24"/>
          <w:szCs w:val="22"/>
        </w:rPr>
        <w:t>), según dos parámetros que tendrá cada variable (</w:t>
      </w:r>
      <w:r w:rsidR="001A2B85">
        <w:rPr>
          <w:rFonts w:cs="Arial"/>
          <w:i w:val="0"/>
          <w:iCs/>
          <w:color w:val="auto"/>
          <w:sz w:val="24"/>
          <w:szCs w:val="22"/>
        </w:rPr>
        <w:t>probabilidad</w:t>
      </w:r>
      <w:r w:rsidR="001A2B85" w:rsidRPr="00F55522">
        <w:rPr>
          <w:rFonts w:cs="Arial"/>
          <w:i w:val="0"/>
          <w:iCs/>
          <w:color w:val="auto"/>
          <w:sz w:val="24"/>
          <w:szCs w:val="22"/>
        </w:rPr>
        <w:t xml:space="preserve"> </w:t>
      </w:r>
      <w:r w:rsidR="001A2B85">
        <w:rPr>
          <w:rFonts w:cs="Arial"/>
          <w:i w:val="0"/>
          <w:iCs/>
          <w:color w:val="auto"/>
          <w:sz w:val="24"/>
          <w:szCs w:val="22"/>
        </w:rPr>
        <w:t>e impacto</w:t>
      </w:r>
      <w:r w:rsidRPr="00F55522">
        <w:rPr>
          <w:rFonts w:cs="Arial"/>
          <w:i w:val="0"/>
          <w:iCs/>
          <w:color w:val="auto"/>
          <w:sz w:val="24"/>
          <w:szCs w:val="22"/>
        </w:rPr>
        <w:t xml:space="preserve">). </w:t>
      </w:r>
    </w:p>
    <w:p w14:paraId="648B0A49" w14:textId="77777777" w:rsidR="00D524D0" w:rsidRPr="00F55522" w:rsidRDefault="00D524D0" w:rsidP="00A056C1">
      <w:pPr>
        <w:pStyle w:val="Ttulo2"/>
        <w:jc w:val="both"/>
      </w:pPr>
      <w:bookmarkStart w:id="25" w:name="_Toc149994751"/>
      <w:r w:rsidRPr="00F55522">
        <w:t>Diseño e implementación del modelo computacional</w:t>
      </w:r>
      <w:bookmarkEnd w:id="25"/>
    </w:p>
    <w:p w14:paraId="45167E6B" w14:textId="578C6601" w:rsidR="00D524D0" w:rsidRDefault="00D524D0"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El tercer objetivo se </w:t>
      </w:r>
      <w:r w:rsidR="000D1A33">
        <w:rPr>
          <w:rFonts w:cs="Arial"/>
          <w:i w:val="0"/>
          <w:iCs/>
          <w:color w:val="auto"/>
          <w:sz w:val="24"/>
          <w:szCs w:val="22"/>
        </w:rPr>
        <w:t>llevó</w:t>
      </w:r>
      <w:r w:rsidRPr="00F55522">
        <w:rPr>
          <w:rFonts w:cs="Arial"/>
          <w:i w:val="0"/>
          <w:iCs/>
          <w:color w:val="auto"/>
          <w:sz w:val="24"/>
          <w:szCs w:val="22"/>
        </w:rPr>
        <w:t xml:space="preserve"> a cabo de la siguiente forma: en una primera instancia, se </w:t>
      </w:r>
      <w:r w:rsidR="000D1A33">
        <w:rPr>
          <w:rFonts w:cs="Arial"/>
          <w:i w:val="0"/>
          <w:iCs/>
          <w:color w:val="auto"/>
          <w:sz w:val="24"/>
          <w:szCs w:val="22"/>
        </w:rPr>
        <w:t>definieron</w:t>
      </w:r>
      <w:r w:rsidRPr="00F55522">
        <w:rPr>
          <w:rFonts w:cs="Arial"/>
          <w:i w:val="0"/>
          <w:iCs/>
          <w:color w:val="auto"/>
          <w:sz w:val="24"/>
          <w:szCs w:val="22"/>
        </w:rPr>
        <w:t xml:space="preserve"> tanto las variables como las funciones de pertenencia en las cuales se </w:t>
      </w:r>
      <w:r w:rsidR="000D1A33">
        <w:rPr>
          <w:rFonts w:cs="Arial"/>
          <w:i w:val="0"/>
          <w:iCs/>
          <w:color w:val="auto"/>
          <w:sz w:val="24"/>
          <w:szCs w:val="22"/>
        </w:rPr>
        <w:t>clasificaron</w:t>
      </w:r>
      <w:r w:rsidRPr="00F55522">
        <w:rPr>
          <w:rFonts w:cs="Arial"/>
          <w:i w:val="0"/>
          <w:iCs/>
          <w:color w:val="auto"/>
          <w:sz w:val="24"/>
          <w:szCs w:val="22"/>
        </w:rPr>
        <w:t xml:space="preserve"> los riesgos. </w:t>
      </w:r>
      <w:r w:rsidR="000D1A33">
        <w:rPr>
          <w:rFonts w:cs="Arial"/>
          <w:i w:val="0"/>
          <w:iCs/>
          <w:color w:val="auto"/>
          <w:sz w:val="24"/>
          <w:szCs w:val="22"/>
        </w:rPr>
        <w:t>Fue</w:t>
      </w:r>
      <w:r w:rsidRPr="00F55522">
        <w:rPr>
          <w:rFonts w:cs="Arial"/>
          <w:i w:val="0"/>
          <w:iCs/>
          <w:color w:val="auto"/>
          <w:sz w:val="24"/>
          <w:szCs w:val="22"/>
        </w:rPr>
        <w:t xml:space="preserve"> importante </w:t>
      </w:r>
      <w:r w:rsidR="001A2B85">
        <w:rPr>
          <w:rFonts w:cs="Arial"/>
          <w:i w:val="0"/>
          <w:iCs/>
          <w:color w:val="auto"/>
          <w:sz w:val="24"/>
          <w:szCs w:val="22"/>
        </w:rPr>
        <w:t>identificar</w:t>
      </w:r>
      <w:r w:rsidR="001A2B85" w:rsidRPr="00F55522">
        <w:rPr>
          <w:rFonts w:cs="Arial"/>
          <w:i w:val="0"/>
          <w:iCs/>
          <w:color w:val="auto"/>
          <w:sz w:val="24"/>
          <w:szCs w:val="22"/>
        </w:rPr>
        <w:t xml:space="preserve"> </w:t>
      </w:r>
      <w:r w:rsidRPr="00F55522">
        <w:rPr>
          <w:rFonts w:cs="Arial"/>
          <w:i w:val="0"/>
          <w:iCs/>
          <w:color w:val="auto"/>
          <w:sz w:val="24"/>
          <w:szCs w:val="22"/>
        </w:rPr>
        <w:t xml:space="preserve">en la literatura casos similares al </w:t>
      </w:r>
      <w:r w:rsidR="0014616E" w:rsidRPr="00F55522">
        <w:rPr>
          <w:rFonts w:cs="Arial"/>
          <w:i w:val="0"/>
          <w:iCs/>
          <w:color w:val="auto"/>
          <w:sz w:val="24"/>
          <w:szCs w:val="22"/>
        </w:rPr>
        <w:t>estudiado</w:t>
      </w:r>
      <w:r w:rsidR="0014616E">
        <w:rPr>
          <w:rFonts w:cs="Arial"/>
          <w:i w:val="0"/>
          <w:iCs/>
          <w:color w:val="auto"/>
          <w:sz w:val="24"/>
          <w:szCs w:val="22"/>
        </w:rPr>
        <w:t xml:space="preserve"> </w:t>
      </w:r>
      <w:r w:rsidR="0014616E">
        <w:rPr>
          <w:rFonts w:cs="Arial"/>
          <w:i w:val="0"/>
          <w:iCs/>
          <w:color w:val="auto"/>
          <w:sz w:val="24"/>
          <w:szCs w:val="22"/>
        </w:rPr>
        <w:fldChar w:fldCharType="begin" w:fldLock="1"/>
      </w:r>
      <w:r w:rsidR="0074298A">
        <w:rPr>
          <w:rFonts w:cs="Arial"/>
          <w:i w:val="0"/>
          <w:iCs/>
          <w:color w:val="auto"/>
          <w:sz w:val="24"/>
          <w:szCs w:val="22"/>
        </w:rPr>
        <w:instrText>ADDIN CSL_CITATION {"citationItems":[{"id":"ITEM-1","itemData":{"DOI":"10.1016/j.matpr.2021.12.415","ISSN":"22147853","abstract":"Many construction projects are undergoing losses due to various reasons. Hence study of cost overrun place a crucial role to minimise these losses in future projects. This paper aims to analyse 40 most important cost overrun factors of Indian construction industry which are identified through literature review. A fuzzy logic model is developed in MATLAB according to the Indian construction scenario considering two input parameters severity index (SI), Probability Index (PI) and one output parameter Fuzzy Index of Cost overrun (FIC) as it is capable of handling complex situations. A questionnaire survey is conducted to collect the data of 40 cost overrun factors which is further incorporated to developed fuzzy logic model to obtain their respective risk magnitudes. In this paper, a case study is carried out on Hyderabad Metro Rail project. The top five factors causing cost overrun in the Hyderabad Metro Rail project are identified as Land acquisition problem, Social and Cultural, Financial difficulty faced by contractor, Fluctuations in material's from the present research work.","author":[{"dropping-particle":"","family":"Alekhya","given":"G.B.S.","non-dropping-particle":"","parse-names":false,"suffix":""},{"dropping-particle":"","family":"Shashikanth","given":"K.","non-dropping-particle":"","parse-names":false,"suffix":""},{"dropping-particle":"","family":"Prasad","given":"M. Anjaneya","non-dropping-particle":"","parse-names":false,"suffix":""}],"container-title":"Materials Today: Proceedings","id":"ITEM-1","issue":"xxxx","issued":{"date-parts":[["2022"]]},"publisher":"Elsevier Ltd","title":"Risk assessment of cost overrun using fuzzy logic model","type":"article-journal"},"uris":["http://www.mendeley.com/documents/?uuid=eaa0bdbd-04c0-4f50-92b3-efcdf01db2c4"]}],"mendeley":{"formattedCitation":"(Alekhya et al., 2022)","plainTextFormattedCitation":"(Alekhya et al., 2022)","previouslyFormattedCitation":"(Alekhya et al., 2022)"},"properties":{"noteIndex":0},"schema":"https://github.com/citation-style-language/schema/raw/master/csl-citation.json"}</w:instrText>
      </w:r>
      <w:r w:rsidR="0014616E">
        <w:rPr>
          <w:rFonts w:cs="Arial"/>
          <w:i w:val="0"/>
          <w:iCs/>
          <w:color w:val="auto"/>
          <w:sz w:val="24"/>
          <w:szCs w:val="22"/>
        </w:rPr>
        <w:fldChar w:fldCharType="separate"/>
      </w:r>
      <w:r w:rsidR="0014616E" w:rsidRPr="0014616E">
        <w:rPr>
          <w:rFonts w:cs="Arial"/>
          <w:i w:val="0"/>
          <w:iCs/>
          <w:noProof/>
          <w:color w:val="auto"/>
          <w:sz w:val="24"/>
          <w:szCs w:val="22"/>
        </w:rPr>
        <w:t>(Alekhya et al., 2022)</w:t>
      </w:r>
      <w:r w:rsidR="0014616E">
        <w:rPr>
          <w:rFonts w:cs="Arial"/>
          <w:i w:val="0"/>
          <w:iCs/>
          <w:color w:val="auto"/>
          <w:sz w:val="24"/>
          <w:szCs w:val="22"/>
        </w:rPr>
        <w:fldChar w:fldCharType="end"/>
      </w:r>
      <w:r w:rsidR="0014616E">
        <w:rPr>
          <w:rFonts w:cs="Arial"/>
          <w:i w:val="0"/>
          <w:iCs/>
          <w:color w:val="auto"/>
          <w:sz w:val="24"/>
          <w:szCs w:val="22"/>
        </w:rPr>
        <w:t>,</w:t>
      </w:r>
      <w:r w:rsidRPr="00F55522">
        <w:rPr>
          <w:rFonts w:cs="Arial"/>
          <w:i w:val="0"/>
          <w:iCs/>
          <w:color w:val="auto"/>
          <w:sz w:val="24"/>
          <w:szCs w:val="22"/>
        </w:rPr>
        <w:t xml:space="preserve"> y determinar las funciones que mejor se adapta</w:t>
      </w:r>
      <w:r w:rsidR="000D1A33">
        <w:rPr>
          <w:rFonts w:cs="Arial"/>
          <w:i w:val="0"/>
          <w:iCs/>
          <w:color w:val="auto"/>
          <w:sz w:val="24"/>
          <w:szCs w:val="22"/>
        </w:rPr>
        <w:t>ron</w:t>
      </w:r>
      <w:r w:rsidRPr="00F55522">
        <w:rPr>
          <w:rFonts w:cs="Arial"/>
          <w:i w:val="0"/>
          <w:iCs/>
          <w:color w:val="auto"/>
          <w:sz w:val="24"/>
          <w:szCs w:val="22"/>
        </w:rPr>
        <w:t xml:space="preserve"> a este caso en particular. Dentro de las funciones </w:t>
      </w:r>
      <w:r w:rsidR="000D1A33">
        <w:rPr>
          <w:rFonts w:cs="Arial"/>
          <w:i w:val="0"/>
          <w:iCs/>
          <w:color w:val="auto"/>
          <w:sz w:val="24"/>
          <w:szCs w:val="22"/>
        </w:rPr>
        <w:t>analizadas estuvieron</w:t>
      </w:r>
      <w:r w:rsidRPr="00F55522">
        <w:rPr>
          <w:rFonts w:cs="Arial"/>
          <w:i w:val="0"/>
          <w:iCs/>
          <w:color w:val="auto"/>
          <w:sz w:val="24"/>
          <w:szCs w:val="22"/>
        </w:rPr>
        <w:t xml:space="preserve"> la gaussiana, la sigmoidal, y la trapezoidal. </w:t>
      </w:r>
    </w:p>
    <w:p w14:paraId="5123779A" w14:textId="3B442A43" w:rsidR="0059462B" w:rsidRDefault="0059462B" w:rsidP="00A056C1">
      <w:pPr>
        <w:pStyle w:val="Sugerencias"/>
        <w:spacing w:line="360" w:lineRule="auto"/>
        <w:jc w:val="both"/>
        <w:rPr>
          <w:rFonts w:cs="Arial"/>
          <w:i w:val="0"/>
          <w:iCs/>
          <w:color w:val="auto"/>
          <w:sz w:val="24"/>
          <w:szCs w:val="22"/>
        </w:rPr>
      </w:pPr>
      <w:r w:rsidRPr="00BA069B">
        <w:rPr>
          <w:rFonts w:cs="Arial"/>
          <w:i w:val="0"/>
          <w:iCs/>
          <w:color w:val="auto"/>
          <w:sz w:val="24"/>
          <w:szCs w:val="22"/>
        </w:rPr>
        <w:t xml:space="preserve">Modelo </w:t>
      </w:r>
      <w:proofErr w:type="spellStart"/>
      <w:r w:rsidRPr="00BA069B">
        <w:rPr>
          <w:rFonts w:cs="Arial"/>
          <w:i w:val="0"/>
          <w:iCs/>
          <w:color w:val="auto"/>
          <w:sz w:val="24"/>
          <w:szCs w:val="22"/>
        </w:rPr>
        <w:t>Fuzzy</w:t>
      </w:r>
      <w:proofErr w:type="spellEnd"/>
      <w:r w:rsidRPr="00BA069B">
        <w:rPr>
          <w:rFonts w:cs="Arial"/>
          <w:i w:val="0"/>
          <w:iCs/>
          <w:color w:val="auto"/>
          <w:sz w:val="24"/>
          <w:szCs w:val="22"/>
        </w:rPr>
        <w:t xml:space="preserve"> </w:t>
      </w:r>
      <w:proofErr w:type="spellStart"/>
      <w:r w:rsidRPr="00BA069B">
        <w:rPr>
          <w:rFonts w:cs="Arial"/>
          <w:i w:val="0"/>
          <w:iCs/>
          <w:color w:val="auto"/>
          <w:sz w:val="24"/>
          <w:szCs w:val="22"/>
        </w:rPr>
        <w:t>Logic</w:t>
      </w:r>
      <w:proofErr w:type="spellEnd"/>
      <w:r w:rsidR="001A2B85" w:rsidRPr="00BA069B">
        <w:rPr>
          <w:rFonts w:cs="Arial"/>
          <w:i w:val="0"/>
          <w:iCs/>
          <w:color w:val="auto"/>
          <w:sz w:val="24"/>
          <w:szCs w:val="22"/>
        </w:rPr>
        <w:t>:</w:t>
      </w:r>
      <w:r w:rsidR="001A2B85">
        <w:rPr>
          <w:rFonts w:cs="Arial"/>
          <w:i w:val="0"/>
          <w:iCs/>
          <w:color w:val="auto"/>
          <w:sz w:val="24"/>
          <w:szCs w:val="22"/>
        </w:rPr>
        <w:t xml:space="preserve"> u</w:t>
      </w:r>
      <w:r>
        <w:rPr>
          <w:rFonts w:cs="Arial"/>
          <w:i w:val="0"/>
          <w:iCs/>
          <w:color w:val="auto"/>
          <w:sz w:val="24"/>
          <w:szCs w:val="22"/>
        </w:rPr>
        <w:t xml:space="preserve">n modelo de lógica </w:t>
      </w:r>
      <w:r w:rsidR="000B7A0F">
        <w:rPr>
          <w:rFonts w:cs="Arial"/>
          <w:i w:val="0"/>
          <w:iCs/>
          <w:color w:val="auto"/>
          <w:sz w:val="24"/>
          <w:szCs w:val="22"/>
        </w:rPr>
        <w:t>difusa</w:t>
      </w:r>
      <w:r>
        <w:rPr>
          <w:rFonts w:cs="Arial"/>
          <w:i w:val="0"/>
          <w:iCs/>
          <w:color w:val="auto"/>
          <w:sz w:val="24"/>
          <w:szCs w:val="22"/>
        </w:rPr>
        <w:t xml:space="preserve"> puede definirse según cuatro componentes:</w:t>
      </w:r>
    </w:p>
    <w:p w14:paraId="159B6A4F" w14:textId="2A91D479" w:rsidR="0059462B" w:rsidRDefault="0059462B" w:rsidP="00A056C1">
      <w:pPr>
        <w:pStyle w:val="Sugerencias"/>
        <w:spacing w:line="360" w:lineRule="auto"/>
        <w:jc w:val="both"/>
        <w:rPr>
          <w:rFonts w:cs="Arial"/>
          <w:i w:val="0"/>
          <w:iCs/>
          <w:color w:val="auto"/>
          <w:sz w:val="24"/>
          <w:szCs w:val="22"/>
        </w:rPr>
      </w:pPr>
      <w:r>
        <w:rPr>
          <w:rFonts w:cs="Arial"/>
          <w:i w:val="0"/>
          <w:iCs/>
          <w:color w:val="auto"/>
          <w:sz w:val="24"/>
          <w:szCs w:val="22"/>
        </w:rPr>
        <w:t xml:space="preserve">Un módulo de </w:t>
      </w:r>
      <w:proofErr w:type="spellStart"/>
      <w:r>
        <w:rPr>
          <w:rFonts w:cs="Arial"/>
          <w:i w:val="0"/>
          <w:iCs/>
          <w:color w:val="auto"/>
          <w:sz w:val="24"/>
          <w:szCs w:val="22"/>
        </w:rPr>
        <w:t>fuzzificación</w:t>
      </w:r>
      <w:proofErr w:type="spellEnd"/>
      <w:r>
        <w:rPr>
          <w:rFonts w:cs="Arial"/>
          <w:i w:val="0"/>
          <w:iCs/>
          <w:color w:val="auto"/>
          <w:sz w:val="24"/>
          <w:szCs w:val="22"/>
        </w:rPr>
        <w:t xml:space="preserve">, en el cual los datos originales obtenidos se </w:t>
      </w:r>
      <w:r w:rsidR="000B7A0F">
        <w:rPr>
          <w:rFonts w:cs="Arial"/>
          <w:i w:val="0"/>
          <w:iCs/>
          <w:color w:val="auto"/>
          <w:sz w:val="24"/>
          <w:szCs w:val="22"/>
        </w:rPr>
        <w:t>convierten en conjuntos difusos, dependiendo de la coincidencia entre las funciones de pertenencia definidas, con la variable de entrada. Con estos valores difusos se puede luego evaluar las reglas presentadas</w:t>
      </w:r>
      <w:r w:rsidR="00201355">
        <w:rPr>
          <w:rFonts w:cs="Arial"/>
          <w:i w:val="0"/>
          <w:iCs/>
          <w:color w:val="auto"/>
          <w:sz w:val="24"/>
          <w:szCs w:val="22"/>
        </w:rPr>
        <w:t xml:space="preserve"> en la base de conocimientos</w:t>
      </w:r>
      <w:r w:rsidR="00900256">
        <w:rPr>
          <w:rFonts w:cs="Arial"/>
          <w:i w:val="0"/>
          <w:iCs/>
          <w:color w:val="auto"/>
          <w:sz w:val="24"/>
          <w:szCs w:val="22"/>
        </w:rPr>
        <w:t xml:space="preserve"> </w:t>
      </w:r>
      <w:r w:rsidR="00900256">
        <w:rPr>
          <w:rFonts w:cs="Arial"/>
          <w:i w:val="0"/>
          <w:iCs/>
          <w:color w:val="auto"/>
          <w:sz w:val="24"/>
          <w:szCs w:val="22"/>
        </w:rPr>
        <w:fldChar w:fldCharType="begin" w:fldLock="1"/>
      </w:r>
      <w:r w:rsidR="009409C7">
        <w:rPr>
          <w:rFonts w:cs="Arial"/>
          <w:i w:val="0"/>
          <w:iCs/>
          <w:color w:val="auto"/>
          <w:sz w:val="24"/>
          <w:szCs w:val="22"/>
        </w:rPr>
        <w:instrText>ADDIN CSL_CITATION {"citationItems":[{"id":"ITEM-1","itemData":{"author":[{"dropping-particle":"","family":"Zhan TIANa","given":"","non-dropping-particle":"","parse-names":false,"suffix":""},{"dropping-particle":"","family":"LYUb","given":"Xin-Yang","non-dropping-particle":"","parse-names":false,"suffix":""},{"dropping-particle":"","family":"ZOUc","given":"Huan","non-dropping-particle":"","parse-names":false,"suffix":""},{"dropping-particle":"","family":"Hong-Long YANGd","given":"","non-dropping-particle":"","parse-names":false,"suffix":""},{"dropping-particle":"","family":", Laixiang SUNc","given":"E","non-dropping-particle":"","parse-names":false,"suffix":""},{"dropping-particle":"","family":"PINYAf","given":"Maria Sunyer","non-dropping-particle":"","parse-names":false,"suffix":""},{"dropping-particle":"","family":", Qing-Chen CHAOg","given":"H","non-dropping-particle":"","parse-names":false,"suffix":""},{"dropping-particle":"","family":", Ai-Qing FENGg","given":"H","non-dropping-particle":"","parse-names":false,"suffix":""},{"dropping-particle":"","family":"SMITHf","given":"Ben","non-dropping-particle":"","parse-names":false,"suffix":""}],"container-title":"Science and Decisions","id":"ITEM-1","issued":{"date-parts":[["2022"]]},"title":"Advancing index-based climate risk assessment to facilitate adaptation planning: Application in Shanghai and Shenzhen, China","type":"article"},"uris":["http://www.mendeley.com/documents/?uuid=743d51ba-22d9-467f-8820-dea5f7094a3d"]}],"mendeley":{"formattedCitation":"(Zhan TIANa et al., 2022)","plainTextFormattedCitation":"(Zhan TIANa et al., 2022)","previouslyFormattedCitation":"(Zhan TIANa et al., 2022)"},"properties":{"noteIndex":0},"schema":"https://github.com/citation-style-language/schema/raw/master/csl-citation.json"}</w:instrText>
      </w:r>
      <w:r w:rsidR="00900256">
        <w:rPr>
          <w:rFonts w:cs="Arial"/>
          <w:i w:val="0"/>
          <w:iCs/>
          <w:color w:val="auto"/>
          <w:sz w:val="24"/>
          <w:szCs w:val="22"/>
        </w:rPr>
        <w:fldChar w:fldCharType="separate"/>
      </w:r>
      <w:r w:rsidR="00900256" w:rsidRPr="00900256">
        <w:rPr>
          <w:rFonts w:cs="Arial"/>
          <w:i w:val="0"/>
          <w:iCs/>
          <w:noProof/>
          <w:color w:val="auto"/>
          <w:sz w:val="24"/>
          <w:szCs w:val="22"/>
        </w:rPr>
        <w:t>(Zhan TIANa et al., 2022)</w:t>
      </w:r>
      <w:r w:rsidR="00900256">
        <w:rPr>
          <w:rFonts w:cs="Arial"/>
          <w:i w:val="0"/>
          <w:iCs/>
          <w:color w:val="auto"/>
          <w:sz w:val="24"/>
          <w:szCs w:val="22"/>
        </w:rPr>
        <w:fldChar w:fldCharType="end"/>
      </w:r>
      <w:r w:rsidR="00900256">
        <w:rPr>
          <w:rFonts w:cs="Arial"/>
          <w:i w:val="0"/>
          <w:iCs/>
          <w:color w:val="auto"/>
          <w:sz w:val="24"/>
          <w:szCs w:val="22"/>
        </w:rPr>
        <w:t xml:space="preserve"> .</w:t>
      </w:r>
    </w:p>
    <w:p w14:paraId="1F5C3E53" w14:textId="55F6AF34" w:rsidR="00201355" w:rsidRDefault="00201355" w:rsidP="00A056C1">
      <w:pPr>
        <w:pStyle w:val="Sugerencias"/>
        <w:spacing w:line="360" w:lineRule="auto"/>
        <w:jc w:val="both"/>
        <w:rPr>
          <w:rFonts w:cs="Arial"/>
          <w:i w:val="0"/>
          <w:iCs/>
          <w:color w:val="auto"/>
          <w:sz w:val="24"/>
          <w:szCs w:val="22"/>
        </w:rPr>
      </w:pPr>
      <w:r>
        <w:rPr>
          <w:rFonts w:cs="Arial"/>
          <w:i w:val="0"/>
          <w:iCs/>
          <w:color w:val="auto"/>
          <w:sz w:val="24"/>
          <w:szCs w:val="22"/>
        </w:rPr>
        <w:t xml:space="preserve">Una base de conocimientos, que se representa por un conjunto de “reglas difusas” de tipo </w:t>
      </w:r>
      <w:r w:rsidR="00770725">
        <w:rPr>
          <w:rFonts w:cs="Arial"/>
          <w:i w:val="0"/>
          <w:iCs/>
          <w:color w:val="auto"/>
          <w:sz w:val="24"/>
          <w:szCs w:val="22"/>
        </w:rPr>
        <w:t>“</w:t>
      </w:r>
      <w:r>
        <w:rPr>
          <w:rFonts w:cs="Arial"/>
          <w:i w:val="0"/>
          <w:iCs/>
          <w:color w:val="auto"/>
          <w:sz w:val="24"/>
          <w:szCs w:val="22"/>
        </w:rPr>
        <w:t>si-entonces</w:t>
      </w:r>
      <w:r w:rsidR="00770725">
        <w:rPr>
          <w:rFonts w:cs="Arial"/>
          <w:i w:val="0"/>
          <w:iCs/>
          <w:color w:val="auto"/>
          <w:sz w:val="24"/>
          <w:szCs w:val="22"/>
        </w:rPr>
        <w:t>”</w:t>
      </w:r>
      <w:r>
        <w:rPr>
          <w:rFonts w:cs="Arial"/>
          <w:i w:val="0"/>
          <w:iCs/>
          <w:color w:val="auto"/>
          <w:sz w:val="24"/>
          <w:szCs w:val="22"/>
        </w:rPr>
        <w:t>. Estas reglas se definieron con base a la literatura y opinión de los expertos</w:t>
      </w:r>
      <w:r w:rsidR="0014616E">
        <w:rPr>
          <w:rFonts w:cs="Arial"/>
          <w:i w:val="0"/>
          <w:iCs/>
          <w:color w:val="auto"/>
          <w:sz w:val="24"/>
          <w:szCs w:val="22"/>
        </w:rPr>
        <w:t>.</w:t>
      </w:r>
      <w:r>
        <w:rPr>
          <w:rFonts w:cs="Arial"/>
          <w:i w:val="0"/>
          <w:iCs/>
          <w:color w:val="auto"/>
          <w:sz w:val="24"/>
          <w:szCs w:val="22"/>
        </w:rPr>
        <w:t xml:space="preserve"> De igual forma es necesario definir una base de datos de conjuntos difusos en términos de las funciones de pertenencia, y asociar una definición de estados lingüísticos para cada indicador, es decir, para cada criterio según su escala de incidencia. </w:t>
      </w:r>
    </w:p>
    <w:p w14:paraId="55C55F4A" w14:textId="6C44D6C3" w:rsidR="00201355" w:rsidRDefault="00201355" w:rsidP="00A056C1">
      <w:pPr>
        <w:pStyle w:val="Sugerencias"/>
        <w:spacing w:line="360" w:lineRule="auto"/>
        <w:jc w:val="both"/>
        <w:rPr>
          <w:rFonts w:cs="Arial"/>
          <w:i w:val="0"/>
          <w:iCs/>
          <w:color w:val="auto"/>
          <w:sz w:val="24"/>
          <w:szCs w:val="22"/>
        </w:rPr>
      </w:pPr>
      <w:r>
        <w:rPr>
          <w:rFonts w:cs="Arial"/>
          <w:i w:val="0"/>
          <w:iCs/>
          <w:color w:val="auto"/>
          <w:sz w:val="24"/>
          <w:szCs w:val="22"/>
        </w:rPr>
        <w:lastRenderedPageBreak/>
        <w:t>Un motor de inferencia del modelo, que es la parte que evalúa cada regla difusa almacenada en la base de conocimientos para realizar las inferencias. En esta parte, el motor de inferencia determina un nivel de intensidad, o fuerza de disparo para cada regla considerando el grado de coincidencia y los conectores difusos utilizados sobre los antecedentes.</w:t>
      </w:r>
    </w:p>
    <w:p w14:paraId="27EFD58D" w14:textId="248A764F" w:rsidR="00201355" w:rsidRDefault="00201355" w:rsidP="00A056C1">
      <w:pPr>
        <w:pStyle w:val="Sugerencias"/>
        <w:spacing w:line="360" w:lineRule="auto"/>
        <w:jc w:val="both"/>
        <w:rPr>
          <w:rFonts w:cs="Arial"/>
          <w:i w:val="0"/>
          <w:iCs/>
          <w:color w:val="auto"/>
          <w:sz w:val="24"/>
          <w:szCs w:val="22"/>
        </w:rPr>
      </w:pPr>
      <w:r>
        <w:rPr>
          <w:rFonts w:cs="Arial"/>
          <w:i w:val="0"/>
          <w:iCs/>
          <w:color w:val="auto"/>
          <w:sz w:val="24"/>
          <w:szCs w:val="22"/>
        </w:rPr>
        <w:t xml:space="preserve">Por último, se requiere de un módulo de </w:t>
      </w:r>
      <w:proofErr w:type="spellStart"/>
      <w:r>
        <w:rPr>
          <w:rFonts w:cs="Arial"/>
          <w:i w:val="0"/>
          <w:iCs/>
          <w:color w:val="auto"/>
          <w:sz w:val="24"/>
          <w:szCs w:val="22"/>
        </w:rPr>
        <w:t>defuzzificación</w:t>
      </w:r>
      <w:proofErr w:type="spellEnd"/>
      <w:r>
        <w:rPr>
          <w:rFonts w:cs="Arial"/>
          <w:i w:val="0"/>
          <w:iCs/>
          <w:color w:val="auto"/>
          <w:sz w:val="24"/>
          <w:szCs w:val="22"/>
        </w:rPr>
        <w:t xml:space="preserve"> del modelo, en esta parte se convierte el conjunto difuso obtenido mediante el procesamiento de las reglas, en un valor escalar níti</w:t>
      </w:r>
      <w:r w:rsidR="001A2B85">
        <w:rPr>
          <w:rFonts w:cs="Arial"/>
          <w:i w:val="0"/>
          <w:iCs/>
          <w:color w:val="auto"/>
          <w:sz w:val="24"/>
          <w:szCs w:val="22"/>
        </w:rPr>
        <w:t>d</w:t>
      </w:r>
      <w:r>
        <w:rPr>
          <w:rFonts w:cs="Arial"/>
          <w:i w:val="0"/>
          <w:iCs/>
          <w:color w:val="auto"/>
          <w:sz w:val="24"/>
          <w:szCs w:val="22"/>
        </w:rPr>
        <w:t>o</w:t>
      </w:r>
      <w:r w:rsidR="001E2E73">
        <w:rPr>
          <w:rFonts w:cs="Arial"/>
          <w:i w:val="0"/>
          <w:iCs/>
          <w:color w:val="auto"/>
          <w:sz w:val="24"/>
          <w:szCs w:val="22"/>
        </w:rPr>
        <w:t xml:space="preserve">. En la </w:t>
      </w:r>
      <w:r w:rsidR="009D044E">
        <w:rPr>
          <w:rFonts w:cs="Arial"/>
          <w:i w:val="0"/>
          <w:iCs/>
          <w:color w:val="auto"/>
          <w:sz w:val="24"/>
          <w:szCs w:val="22"/>
        </w:rPr>
        <w:t>Figura 1</w:t>
      </w:r>
      <w:r w:rsidR="001E2E73">
        <w:rPr>
          <w:rFonts w:cs="Arial"/>
          <w:i w:val="0"/>
          <w:iCs/>
          <w:color w:val="auto"/>
          <w:sz w:val="24"/>
          <w:szCs w:val="22"/>
        </w:rPr>
        <w:t xml:space="preserve"> se </w:t>
      </w:r>
      <w:r w:rsidR="001A2B85">
        <w:rPr>
          <w:rFonts w:cs="Arial"/>
          <w:i w:val="0"/>
          <w:iCs/>
          <w:color w:val="auto"/>
          <w:sz w:val="24"/>
          <w:szCs w:val="22"/>
        </w:rPr>
        <w:t xml:space="preserve">muestra </w:t>
      </w:r>
      <w:r w:rsidR="001E2E73">
        <w:rPr>
          <w:rFonts w:cs="Arial"/>
          <w:i w:val="0"/>
          <w:iCs/>
          <w:color w:val="auto"/>
          <w:sz w:val="24"/>
          <w:szCs w:val="22"/>
        </w:rPr>
        <w:t xml:space="preserve">una representación visual de la idea de este modelo y </w:t>
      </w:r>
      <w:r w:rsidR="001A2B85">
        <w:rPr>
          <w:rFonts w:cs="Arial"/>
          <w:i w:val="0"/>
          <w:iCs/>
          <w:color w:val="auto"/>
          <w:sz w:val="24"/>
          <w:szCs w:val="22"/>
        </w:rPr>
        <w:t>los módulos que lo</w:t>
      </w:r>
      <w:r w:rsidR="001E2E73">
        <w:rPr>
          <w:rFonts w:cs="Arial"/>
          <w:i w:val="0"/>
          <w:iCs/>
          <w:color w:val="auto"/>
          <w:sz w:val="24"/>
          <w:szCs w:val="22"/>
        </w:rPr>
        <w:t xml:space="preserve"> </w:t>
      </w:r>
      <w:r w:rsidR="001A2B85">
        <w:rPr>
          <w:rFonts w:cs="Arial"/>
          <w:i w:val="0"/>
          <w:iCs/>
          <w:color w:val="auto"/>
          <w:sz w:val="24"/>
          <w:szCs w:val="22"/>
        </w:rPr>
        <w:t>componen</w:t>
      </w:r>
      <w:r w:rsidR="001E2E73">
        <w:rPr>
          <w:rFonts w:cs="Arial"/>
          <w:i w:val="0"/>
          <w:iCs/>
          <w:color w:val="auto"/>
          <w:sz w:val="24"/>
          <w:szCs w:val="22"/>
        </w:rPr>
        <w:t>.</w:t>
      </w:r>
    </w:p>
    <w:p w14:paraId="3DA2D94F" w14:textId="5B8DDD10" w:rsidR="009D044E" w:rsidRPr="004D533A" w:rsidRDefault="001E2E73" w:rsidP="00A056C1">
      <w:pPr>
        <w:pStyle w:val="Sugerencias"/>
        <w:spacing w:line="360" w:lineRule="auto"/>
        <w:jc w:val="both"/>
        <w:rPr>
          <w:rFonts w:cs="Arial"/>
          <w:i w:val="0"/>
          <w:iCs/>
          <w:color w:val="auto"/>
          <w:sz w:val="24"/>
          <w:szCs w:val="22"/>
        </w:rPr>
      </w:pPr>
      <w:r>
        <w:rPr>
          <w:rFonts w:cs="Arial"/>
          <w:i w:val="0"/>
          <w:iCs/>
          <w:noProof/>
          <w:color w:val="auto"/>
          <w:sz w:val="24"/>
          <w:szCs w:val="22"/>
        </w:rPr>
        <w:drawing>
          <wp:inline distT="0" distB="0" distL="0" distR="0" wp14:anchorId="6795DBD5" wp14:editId="039677B9">
            <wp:extent cx="5972810" cy="1669415"/>
            <wp:effectExtent l="0" t="0" r="0" b="0"/>
            <wp:docPr id="11" name="Imagen 1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Diagrama&#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72810" cy="1669415"/>
                    </a:xfrm>
                    <a:prstGeom prst="rect">
                      <a:avLst/>
                    </a:prstGeom>
                  </pic:spPr>
                </pic:pic>
              </a:graphicData>
            </a:graphic>
          </wp:inline>
        </w:drawing>
      </w:r>
    </w:p>
    <w:p w14:paraId="0D59807C" w14:textId="1FE493FD" w:rsidR="009D044E" w:rsidRPr="004D533A" w:rsidRDefault="004D533A" w:rsidP="004261FD">
      <w:pPr>
        <w:pStyle w:val="Descripcin"/>
        <w:jc w:val="center"/>
        <w:rPr>
          <w:rFonts w:cs="Arial"/>
          <w:i w:val="0"/>
          <w:iCs w:val="0"/>
          <w:color w:val="000000" w:themeColor="text1"/>
          <w:sz w:val="22"/>
          <w:szCs w:val="21"/>
        </w:rPr>
      </w:pPr>
      <w:bookmarkStart w:id="26" w:name="_Toc134470861"/>
      <w:r w:rsidRPr="004D533A">
        <w:rPr>
          <w:i w:val="0"/>
          <w:iCs w:val="0"/>
          <w:color w:val="000000" w:themeColor="text1"/>
          <w:sz w:val="16"/>
          <w:szCs w:val="16"/>
        </w:rPr>
        <w:t xml:space="preserve">Figura </w:t>
      </w:r>
      <w:r w:rsidRPr="004D533A">
        <w:rPr>
          <w:i w:val="0"/>
          <w:iCs w:val="0"/>
          <w:color w:val="000000" w:themeColor="text1"/>
          <w:sz w:val="16"/>
          <w:szCs w:val="16"/>
        </w:rPr>
        <w:fldChar w:fldCharType="begin"/>
      </w:r>
      <w:r w:rsidRPr="004D533A">
        <w:rPr>
          <w:i w:val="0"/>
          <w:iCs w:val="0"/>
          <w:color w:val="000000" w:themeColor="text1"/>
          <w:sz w:val="16"/>
          <w:szCs w:val="16"/>
        </w:rPr>
        <w:instrText xml:space="preserve"> SEQ Figura \* ARABIC </w:instrText>
      </w:r>
      <w:r w:rsidRPr="004D533A">
        <w:rPr>
          <w:i w:val="0"/>
          <w:iCs w:val="0"/>
          <w:color w:val="000000" w:themeColor="text1"/>
          <w:sz w:val="16"/>
          <w:szCs w:val="16"/>
        </w:rPr>
        <w:fldChar w:fldCharType="separate"/>
      </w:r>
      <w:r w:rsidR="00036BF0">
        <w:rPr>
          <w:i w:val="0"/>
          <w:iCs w:val="0"/>
          <w:noProof/>
          <w:color w:val="000000" w:themeColor="text1"/>
          <w:sz w:val="16"/>
          <w:szCs w:val="16"/>
        </w:rPr>
        <w:t>1</w:t>
      </w:r>
      <w:r w:rsidRPr="004D533A">
        <w:rPr>
          <w:i w:val="0"/>
          <w:iCs w:val="0"/>
          <w:color w:val="000000" w:themeColor="text1"/>
          <w:sz w:val="16"/>
          <w:szCs w:val="16"/>
        </w:rPr>
        <w:fldChar w:fldCharType="end"/>
      </w:r>
      <w:r w:rsidRPr="004D533A">
        <w:rPr>
          <w:i w:val="0"/>
          <w:iCs w:val="0"/>
          <w:color w:val="000000" w:themeColor="text1"/>
          <w:sz w:val="16"/>
          <w:szCs w:val="16"/>
        </w:rPr>
        <w:t>. Tabla de Resultados Bajo Metodología TOPSIS. Elaboración Propia</w:t>
      </w:r>
      <w:bookmarkEnd w:id="26"/>
    </w:p>
    <w:p w14:paraId="0FFC26A6" w14:textId="6AED0260" w:rsidR="001E2E73" w:rsidRPr="00F55522" w:rsidRDefault="001E2E73" w:rsidP="00A056C1">
      <w:pPr>
        <w:pStyle w:val="Sugerencias"/>
        <w:spacing w:line="360" w:lineRule="auto"/>
        <w:jc w:val="both"/>
        <w:rPr>
          <w:rFonts w:cs="Arial"/>
          <w:i w:val="0"/>
          <w:iCs/>
          <w:color w:val="auto"/>
          <w:sz w:val="24"/>
          <w:szCs w:val="22"/>
        </w:rPr>
      </w:pPr>
      <w:r>
        <w:rPr>
          <w:rFonts w:cs="Arial"/>
          <w:i w:val="0"/>
          <w:iCs/>
          <w:color w:val="auto"/>
          <w:sz w:val="24"/>
          <w:szCs w:val="22"/>
        </w:rPr>
        <w:t>Con este modelo</w:t>
      </w:r>
      <w:r w:rsidRPr="00F55522">
        <w:rPr>
          <w:rFonts w:cs="Arial"/>
          <w:i w:val="0"/>
          <w:iCs/>
          <w:color w:val="auto"/>
          <w:sz w:val="24"/>
          <w:szCs w:val="22"/>
        </w:rPr>
        <w:t xml:space="preserve"> se </w:t>
      </w:r>
      <w:r>
        <w:rPr>
          <w:rFonts w:cs="Arial"/>
          <w:i w:val="0"/>
          <w:iCs/>
          <w:color w:val="auto"/>
          <w:sz w:val="24"/>
          <w:szCs w:val="22"/>
        </w:rPr>
        <w:t>procedió</w:t>
      </w:r>
      <w:r w:rsidRPr="00F55522">
        <w:rPr>
          <w:rFonts w:cs="Arial"/>
          <w:i w:val="0"/>
          <w:iCs/>
          <w:color w:val="auto"/>
          <w:sz w:val="24"/>
          <w:szCs w:val="22"/>
        </w:rPr>
        <w:t xml:space="preserve"> a encontrar funciones</w:t>
      </w:r>
      <w:r>
        <w:rPr>
          <w:rFonts w:cs="Arial"/>
          <w:i w:val="0"/>
          <w:iCs/>
          <w:color w:val="auto"/>
          <w:sz w:val="24"/>
          <w:szCs w:val="22"/>
        </w:rPr>
        <w:t xml:space="preserve"> de distribución</w:t>
      </w:r>
      <w:r w:rsidRPr="00F55522">
        <w:rPr>
          <w:rFonts w:cs="Arial"/>
          <w:i w:val="0"/>
          <w:iCs/>
          <w:color w:val="auto"/>
          <w:sz w:val="24"/>
          <w:szCs w:val="22"/>
        </w:rPr>
        <w:t xml:space="preserve"> </w:t>
      </w:r>
      <w:r>
        <w:rPr>
          <w:rFonts w:cs="Arial"/>
          <w:i w:val="0"/>
          <w:iCs/>
          <w:color w:val="auto"/>
          <w:sz w:val="24"/>
          <w:szCs w:val="22"/>
        </w:rPr>
        <w:t>que caractericen</w:t>
      </w:r>
      <w:r w:rsidRPr="00F55522">
        <w:rPr>
          <w:rFonts w:cs="Arial"/>
          <w:i w:val="0"/>
          <w:iCs/>
          <w:color w:val="auto"/>
          <w:sz w:val="24"/>
          <w:szCs w:val="22"/>
        </w:rPr>
        <w:t xml:space="preserve"> las variables de </w:t>
      </w:r>
      <w:r w:rsidR="001A2B85">
        <w:rPr>
          <w:rFonts w:cs="Arial"/>
          <w:i w:val="0"/>
          <w:iCs/>
          <w:color w:val="auto"/>
          <w:sz w:val="24"/>
          <w:szCs w:val="22"/>
        </w:rPr>
        <w:t>probabilidad</w:t>
      </w:r>
      <w:r w:rsidR="001A2B85" w:rsidRPr="00F55522">
        <w:rPr>
          <w:rFonts w:cs="Arial"/>
          <w:i w:val="0"/>
          <w:iCs/>
          <w:color w:val="auto"/>
          <w:sz w:val="24"/>
          <w:szCs w:val="22"/>
        </w:rPr>
        <w:t xml:space="preserve"> </w:t>
      </w:r>
      <w:r w:rsidR="001A2B85">
        <w:rPr>
          <w:rFonts w:cs="Arial"/>
          <w:i w:val="0"/>
          <w:iCs/>
          <w:color w:val="auto"/>
          <w:sz w:val="24"/>
          <w:szCs w:val="22"/>
        </w:rPr>
        <w:t>e impacto</w:t>
      </w:r>
      <w:r w:rsidRPr="00F55522">
        <w:rPr>
          <w:rFonts w:cs="Arial"/>
          <w:i w:val="0"/>
          <w:iCs/>
          <w:color w:val="auto"/>
          <w:sz w:val="24"/>
          <w:szCs w:val="22"/>
        </w:rPr>
        <w:t xml:space="preserve">. La selección de estas funciones </w:t>
      </w:r>
      <w:r>
        <w:rPr>
          <w:rFonts w:cs="Arial"/>
          <w:i w:val="0"/>
          <w:iCs/>
          <w:color w:val="auto"/>
          <w:sz w:val="24"/>
          <w:szCs w:val="22"/>
        </w:rPr>
        <w:t>dependió</w:t>
      </w:r>
      <w:r w:rsidRPr="00F55522">
        <w:rPr>
          <w:rFonts w:cs="Arial"/>
          <w:i w:val="0"/>
          <w:iCs/>
          <w:color w:val="auto"/>
          <w:sz w:val="24"/>
          <w:szCs w:val="22"/>
        </w:rPr>
        <w:t xml:space="preserve"> en parte de la elaboración de las funciones de pertenencia. De igual forma, </w:t>
      </w:r>
      <w:r>
        <w:rPr>
          <w:rFonts w:cs="Arial"/>
          <w:i w:val="0"/>
          <w:iCs/>
          <w:color w:val="auto"/>
          <w:sz w:val="24"/>
          <w:szCs w:val="22"/>
        </w:rPr>
        <w:t>fue</w:t>
      </w:r>
      <w:r w:rsidRPr="00F55522">
        <w:rPr>
          <w:rFonts w:cs="Arial"/>
          <w:i w:val="0"/>
          <w:iCs/>
          <w:color w:val="auto"/>
          <w:sz w:val="24"/>
          <w:szCs w:val="22"/>
        </w:rPr>
        <w:t xml:space="preserve"> importante </w:t>
      </w:r>
      <w:r w:rsidR="001A2B85">
        <w:rPr>
          <w:rFonts w:cs="Arial"/>
          <w:i w:val="0"/>
          <w:iCs/>
          <w:color w:val="auto"/>
          <w:sz w:val="24"/>
          <w:szCs w:val="22"/>
        </w:rPr>
        <w:t>identificar</w:t>
      </w:r>
      <w:r w:rsidR="001A2B85" w:rsidRPr="00F55522">
        <w:rPr>
          <w:rFonts w:cs="Arial"/>
          <w:i w:val="0"/>
          <w:iCs/>
          <w:color w:val="auto"/>
          <w:sz w:val="24"/>
          <w:szCs w:val="22"/>
        </w:rPr>
        <w:t xml:space="preserve"> </w:t>
      </w:r>
      <w:r w:rsidRPr="00F55522">
        <w:rPr>
          <w:rFonts w:cs="Arial"/>
          <w:i w:val="0"/>
          <w:iCs/>
          <w:color w:val="auto"/>
          <w:sz w:val="24"/>
          <w:szCs w:val="22"/>
        </w:rPr>
        <w:t>en la literatura c</w:t>
      </w:r>
      <w:r w:rsidR="001A2B85">
        <w:rPr>
          <w:rFonts w:cs="Arial"/>
          <w:i w:val="0"/>
          <w:iCs/>
          <w:color w:val="auto"/>
          <w:sz w:val="24"/>
          <w:szCs w:val="22"/>
        </w:rPr>
        <w:t>ó</w:t>
      </w:r>
      <w:r w:rsidRPr="00F55522">
        <w:rPr>
          <w:rFonts w:cs="Arial"/>
          <w:i w:val="0"/>
          <w:iCs/>
          <w:color w:val="auto"/>
          <w:sz w:val="24"/>
          <w:szCs w:val="22"/>
        </w:rPr>
        <w:t>mo se han aproximado a la formulación de estas funciones en casos similares a este.</w:t>
      </w:r>
    </w:p>
    <w:p w14:paraId="1AD2470B" w14:textId="5828CD1A" w:rsidR="001E2E73" w:rsidRPr="00F55522" w:rsidRDefault="001E2E73" w:rsidP="00A056C1">
      <w:pPr>
        <w:pStyle w:val="Sugerencias"/>
        <w:spacing w:line="360" w:lineRule="auto"/>
        <w:jc w:val="both"/>
        <w:rPr>
          <w:rFonts w:cs="Arial"/>
          <w:i w:val="0"/>
          <w:iCs/>
          <w:color w:val="auto"/>
          <w:sz w:val="24"/>
          <w:szCs w:val="22"/>
        </w:rPr>
      </w:pPr>
      <w:r w:rsidRPr="00F55522">
        <w:rPr>
          <w:rFonts w:cs="Arial"/>
          <w:i w:val="0"/>
          <w:iCs/>
          <w:color w:val="auto"/>
          <w:sz w:val="24"/>
          <w:szCs w:val="22"/>
        </w:rPr>
        <w:t xml:space="preserve">Finalmente, en este tercer objetivo, se </w:t>
      </w:r>
      <w:r>
        <w:rPr>
          <w:rFonts w:cs="Arial"/>
          <w:i w:val="0"/>
          <w:iCs/>
          <w:color w:val="auto"/>
          <w:sz w:val="24"/>
          <w:szCs w:val="22"/>
        </w:rPr>
        <w:t>procedió</w:t>
      </w:r>
      <w:r w:rsidRPr="00F55522">
        <w:rPr>
          <w:rFonts w:cs="Arial"/>
          <w:i w:val="0"/>
          <w:iCs/>
          <w:color w:val="auto"/>
          <w:sz w:val="24"/>
          <w:szCs w:val="22"/>
        </w:rPr>
        <w:t xml:space="preserve"> a elaborar la base de conocimiento mediante la definición de las reglas de clasificación, para lograr la correcta clasificación de los riesgos según su </w:t>
      </w:r>
      <w:r w:rsidR="001A2B85">
        <w:rPr>
          <w:rFonts w:cs="Arial"/>
          <w:i w:val="0"/>
          <w:iCs/>
          <w:color w:val="auto"/>
          <w:sz w:val="24"/>
          <w:szCs w:val="22"/>
        </w:rPr>
        <w:t>probabilidad e impacto</w:t>
      </w:r>
      <w:r w:rsidRPr="00F55522">
        <w:rPr>
          <w:rFonts w:cs="Arial"/>
          <w:i w:val="0"/>
          <w:iCs/>
          <w:color w:val="auto"/>
          <w:sz w:val="24"/>
          <w:szCs w:val="22"/>
        </w:rPr>
        <w:t xml:space="preserve">. En esta etapa, </w:t>
      </w:r>
      <w:r>
        <w:rPr>
          <w:rFonts w:cs="Arial"/>
          <w:i w:val="0"/>
          <w:iCs/>
          <w:color w:val="auto"/>
          <w:sz w:val="24"/>
          <w:szCs w:val="22"/>
        </w:rPr>
        <w:t>fue</w:t>
      </w:r>
      <w:r w:rsidRPr="00F55522">
        <w:rPr>
          <w:rFonts w:cs="Arial"/>
          <w:i w:val="0"/>
          <w:iCs/>
          <w:color w:val="auto"/>
          <w:sz w:val="24"/>
          <w:szCs w:val="22"/>
        </w:rPr>
        <w:t xml:space="preserve"> también relevante </w:t>
      </w:r>
      <w:r w:rsidR="001A2B85">
        <w:rPr>
          <w:rFonts w:cs="Arial"/>
          <w:i w:val="0"/>
          <w:iCs/>
          <w:color w:val="auto"/>
          <w:sz w:val="24"/>
          <w:szCs w:val="22"/>
        </w:rPr>
        <w:t>identificar</w:t>
      </w:r>
      <w:r w:rsidR="001A2B85" w:rsidRPr="00F55522">
        <w:rPr>
          <w:rFonts w:cs="Arial"/>
          <w:i w:val="0"/>
          <w:iCs/>
          <w:color w:val="auto"/>
          <w:sz w:val="24"/>
          <w:szCs w:val="22"/>
        </w:rPr>
        <w:t xml:space="preserve"> </w:t>
      </w:r>
      <w:r w:rsidRPr="00F55522">
        <w:rPr>
          <w:rFonts w:cs="Arial"/>
          <w:i w:val="0"/>
          <w:iCs/>
          <w:color w:val="auto"/>
          <w:sz w:val="24"/>
          <w:szCs w:val="22"/>
        </w:rPr>
        <w:t xml:space="preserve">diversos modelos de lógica borrosa, de tal forma que </w:t>
      </w:r>
      <w:r>
        <w:rPr>
          <w:rFonts w:cs="Arial"/>
          <w:i w:val="0"/>
          <w:iCs/>
          <w:color w:val="auto"/>
          <w:sz w:val="24"/>
          <w:szCs w:val="22"/>
        </w:rPr>
        <w:t>fuese</w:t>
      </w:r>
      <w:r w:rsidRPr="00F55522">
        <w:rPr>
          <w:rFonts w:cs="Arial"/>
          <w:i w:val="0"/>
          <w:iCs/>
          <w:color w:val="auto"/>
          <w:sz w:val="24"/>
          <w:szCs w:val="22"/>
        </w:rPr>
        <w:t xml:space="preserve"> posible encontrar el óptimo para este caso particular</w:t>
      </w:r>
      <w:r>
        <w:rPr>
          <w:rFonts w:cs="Arial"/>
          <w:i w:val="0"/>
          <w:iCs/>
          <w:color w:val="auto"/>
          <w:sz w:val="24"/>
          <w:szCs w:val="22"/>
        </w:rPr>
        <w:t>.</w:t>
      </w:r>
      <w:r w:rsidR="0014616E">
        <w:rPr>
          <w:rFonts w:cs="Arial"/>
          <w:i w:val="0"/>
          <w:iCs/>
          <w:color w:val="auto"/>
          <w:sz w:val="24"/>
          <w:szCs w:val="22"/>
        </w:rPr>
        <w:t xml:space="preserve"> Para desarrollar el resultado que se describe en este objetivo, se utilizó Python 3.11.</w:t>
      </w:r>
    </w:p>
    <w:p w14:paraId="23237815" w14:textId="4629A6DC" w:rsidR="001E62C9" w:rsidRDefault="00C72C65" w:rsidP="008242E9">
      <w:pPr>
        <w:pStyle w:val="Ttulo1"/>
      </w:pPr>
      <w:bookmarkStart w:id="27" w:name="_Toc149994752"/>
      <w:r w:rsidRPr="00A056C1">
        <w:lastRenderedPageBreak/>
        <w:t>Presentación y discusión de resultados</w:t>
      </w:r>
      <w:bookmarkEnd w:id="27"/>
    </w:p>
    <w:p w14:paraId="540C5F47" w14:textId="6EFB77B3" w:rsidR="001A2B85" w:rsidRPr="001A2B85" w:rsidRDefault="001A2B85" w:rsidP="00A056C1">
      <w:pPr>
        <w:jc w:val="both"/>
      </w:pPr>
      <w:r>
        <w:t>A continuación, se muestran los resultados obtenidos luego de aplicar cada uno de los pasos descritos anteriormente en el proceso metodológico.</w:t>
      </w:r>
    </w:p>
    <w:p w14:paraId="6811A266" w14:textId="5FF46FEF" w:rsidR="002943F2" w:rsidRDefault="00324454" w:rsidP="00324454">
      <w:pPr>
        <w:pStyle w:val="Ttulo2"/>
      </w:pPr>
      <w:bookmarkStart w:id="28" w:name="_Toc149994753"/>
      <w:r>
        <w:t>Identificación de variables</w:t>
      </w:r>
      <w:bookmarkEnd w:id="28"/>
    </w:p>
    <w:p w14:paraId="588EBD94" w14:textId="794E439F" w:rsidR="00324454" w:rsidRDefault="00F3548A" w:rsidP="00F3548A">
      <w:pPr>
        <w:pStyle w:val="Ttulo3"/>
      </w:pPr>
      <w:bookmarkStart w:id="29" w:name="_Toc149994754"/>
      <w:r>
        <w:t>Clasificación de variables</w:t>
      </w:r>
      <w:bookmarkEnd w:id="29"/>
    </w:p>
    <w:p w14:paraId="0DFAF4E7" w14:textId="2F9C2D27" w:rsidR="00F3548A" w:rsidRDefault="001A2B85" w:rsidP="00A056C1">
      <w:pPr>
        <w:ind w:firstLine="0"/>
        <w:jc w:val="both"/>
        <w:rPr>
          <w:lang w:eastAsia="es-ES"/>
        </w:rPr>
      </w:pPr>
      <w:r>
        <w:rPr>
          <w:lang w:eastAsia="es-ES"/>
        </w:rPr>
        <w:t xml:space="preserve">Por un lado, </w:t>
      </w:r>
      <w:r w:rsidR="00F3548A">
        <w:rPr>
          <w:lang w:eastAsia="es-ES"/>
        </w:rPr>
        <w:fldChar w:fldCharType="begin" w:fldLock="1"/>
      </w:r>
      <w:r w:rsidR="00725CB1">
        <w:rPr>
          <w:lang w:eastAsia="es-ES"/>
        </w:rPr>
        <w:instrText>ADDIN CSL_CITATION {"citationItems":[{"id":"ITEM-1","itemData":{"DOI":"10.1016/j.jclepro.2017.03.018","author":[{"dropping-particle":"","family":"Federica","given":"Gasbarro","non-dropping-particle":"","parse-names":false,"suffix":""},{"dropping-particle":"","family":"Fabio","given":"Iraldo","non-dropping-particle":"","parse-names":false,"suffix":""},{"dropping-particle":"","family":"Tiberio","given":"Daddi","non-dropping-particle":"","parse-names":false,"suffix":""}],"id":"ITEM-1","issued":{"date-parts":[["2017"]]},"title":"The drivers of multinational enterprises’ climate change strategies: A quantitative study on climate-related risks and opportunities. Journal of Cleaner Production","type":"thesis"},"uris":["http://www.mendeley.com/documents/?uuid=bdc9d4b6-da78-344b-9005-257e2e4f23ae"]}],"mendeley":{"formattedCitation":"(Federica, Fabio, &amp; Tiberio, 2017)","manualFormatting":"Federica, Fabio, &amp; Tiberio (2017","plainTextFormattedCitation":"(Federica, Fabio, &amp; Tiberio, 2017)","previouslyFormattedCitation":"(Federica, Fabio, &amp; Tiberio, 2017)"},"properties":{"noteIndex":0},"schema":"https://github.com/citation-style-language/schema/raw/master/csl-citation.json"}</w:instrText>
      </w:r>
      <w:r w:rsidR="00F3548A">
        <w:rPr>
          <w:lang w:eastAsia="es-ES"/>
        </w:rPr>
        <w:fldChar w:fldCharType="separate"/>
      </w:r>
      <w:r w:rsidR="00F3548A" w:rsidRPr="00F3548A">
        <w:rPr>
          <w:noProof/>
          <w:lang w:eastAsia="es-ES"/>
        </w:rPr>
        <w:t xml:space="preserve">Federica, Fabio, &amp; Tiberio </w:t>
      </w:r>
      <w:r w:rsidR="00F3548A">
        <w:rPr>
          <w:noProof/>
          <w:lang w:eastAsia="es-ES"/>
        </w:rPr>
        <w:t>(</w:t>
      </w:r>
      <w:r w:rsidR="00F3548A" w:rsidRPr="00F3548A">
        <w:rPr>
          <w:noProof/>
          <w:lang w:eastAsia="es-ES"/>
        </w:rPr>
        <w:t>2017</w:t>
      </w:r>
      <w:r w:rsidR="00F3548A">
        <w:rPr>
          <w:lang w:eastAsia="es-ES"/>
        </w:rPr>
        <w:fldChar w:fldCharType="end"/>
      </w:r>
      <w:r w:rsidR="00F3548A">
        <w:rPr>
          <w:lang w:eastAsia="es-ES"/>
        </w:rPr>
        <w:t>)</w:t>
      </w:r>
      <w:r w:rsidR="00725CB1">
        <w:rPr>
          <w:lang w:eastAsia="es-ES"/>
        </w:rPr>
        <w:t xml:space="preserve"> reconocen </w:t>
      </w:r>
      <w:r w:rsidR="004F5616">
        <w:rPr>
          <w:lang w:eastAsia="es-ES"/>
        </w:rPr>
        <w:t xml:space="preserve">la </w:t>
      </w:r>
      <w:r w:rsidR="00725CB1">
        <w:rPr>
          <w:lang w:eastAsia="es-ES"/>
        </w:rPr>
        <w:t xml:space="preserve">clasificación de riesgos asociados a tecnología e innovación, de igual manera reconocen riesgos regulatorios, relacionales, e impactos en las necesidades del consumidor. </w:t>
      </w:r>
      <w:r w:rsidR="00725CB1">
        <w:rPr>
          <w:lang w:eastAsia="es-ES"/>
        </w:rPr>
        <w:fldChar w:fldCharType="begin" w:fldLock="1"/>
      </w:r>
      <w:r w:rsidR="00725CB1">
        <w:rPr>
          <w:lang w:eastAsia="es-ES"/>
        </w:rPr>
        <w:instrText>ADDIN CSL_CITATION {"citationItems":[{"id":"ITEM-1","itemData":{"DOI":"10.1002/bse.2651","author":[{"dropping-particle":"","family":"Samira","given":"Demaria","non-dropping-particle":"","parse-names":false,"suffix":""},{"dropping-particle":"","family":"Sandra","given":"Rigot","non-dropping-particle":"","parse-names":false,"suffix":""}],"id":"ITEM-1","issued":{"date-parts":[["2020"]]},"title":"Corporate environmental reporting: Are French firms compliant with the Task Force on Climate Financial Disclosures’ recommendations? Business Strategy and the Environment","type":"webpage"},"uris":["http://www.mendeley.com/documents/?uuid=8cf7d83a-269c-3265-ab3a-dbc6bff09908"]}],"mendeley":{"formattedCitation":"(Samira &amp; Sandra, 2020)","manualFormatting":"Samira &amp; Sandra (2020)","plainTextFormattedCitation":"(Samira &amp; Sandra, 2020)","previouslyFormattedCitation":"(Samira &amp; Sandra, 2020)"},"properties":{"noteIndex":0},"schema":"https://github.com/citation-style-language/schema/raw/master/csl-citation.json"}</w:instrText>
      </w:r>
      <w:r w:rsidR="00725CB1">
        <w:rPr>
          <w:lang w:eastAsia="es-ES"/>
        </w:rPr>
        <w:fldChar w:fldCharType="separate"/>
      </w:r>
      <w:r w:rsidR="00725CB1" w:rsidRPr="00725CB1">
        <w:rPr>
          <w:noProof/>
          <w:lang w:eastAsia="es-ES"/>
        </w:rPr>
        <w:t xml:space="preserve">Samira &amp; Sandra </w:t>
      </w:r>
      <w:r w:rsidR="00725CB1">
        <w:rPr>
          <w:noProof/>
          <w:lang w:eastAsia="es-ES"/>
        </w:rPr>
        <w:t>(</w:t>
      </w:r>
      <w:r w:rsidR="00725CB1" w:rsidRPr="00725CB1">
        <w:rPr>
          <w:noProof/>
          <w:lang w:eastAsia="es-ES"/>
        </w:rPr>
        <w:t>2020)</w:t>
      </w:r>
      <w:r w:rsidR="00725CB1">
        <w:rPr>
          <w:lang w:eastAsia="es-ES"/>
        </w:rPr>
        <w:fldChar w:fldCharType="end"/>
      </w:r>
      <w:r w:rsidR="00725CB1">
        <w:rPr>
          <w:lang w:eastAsia="es-ES"/>
        </w:rPr>
        <w:t xml:space="preserve"> consideran cuatro categorías para clasificar estos riesgos: de mercado, reputacional, tecnológico y riesgos asociados a la le</w:t>
      </w:r>
      <w:r w:rsidR="004F5616">
        <w:rPr>
          <w:lang w:eastAsia="es-ES"/>
        </w:rPr>
        <w:t>g</w:t>
      </w:r>
      <w:r w:rsidR="00725CB1">
        <w:rPr>
          <w:lang w:eastAsia="es-ES"/>
        </w:rPr>
        <w:t xml:space="preserve">islación y las políticas legales. De igual modo </w:t>
      </w:r>
      <w:r w:rsidR="00725CB1">
        <w:rPr>
          <w:lang w:eastAsia="es-ES"/>
        </w:rPr>
        <w:fldChar w:fldCharType="begin" w:fldLock="1"/>
      </w:r>
      <w:r w:rsidR="00725CB1">
        <w:rPr>
          <w:lang w:eastAsia="es-ES"/>
        </w:rPr>
        <w:instrText>ADDIN CSL_CITATION {"citationItems":[{"id":"ITEM-1","itemData":{"author":[{"dropping-particle":"","family":"TCFD","given":"","non-dropping-particle":"","parse-names":false,"suffix":""}],"id":"ITEM-1","issued":{"date-parts":[["2021"]]},"title":"Task Force on Climate-related Financial Disclosures","type":"report"},"uris":["http://www.mendeley.com/documents/?uuid=46c73e3c-99c9-396f-9ce8-32b6790d08d8"]}],"mendeley":{"formattedCitation":"(TCFD, 2021)","manualFormatting":"TCFD (2021)","plainTextFormattedCitation":"(TCFD, 2021)","previouslyFormattedCitation":"(TCFD, 2021)"},"properties":{"noteIndex":0},"schema":"https://github.com/citation-style-language/schema/raw/master/csl-citation.json"}</w:instrText>
      </w:r>
      <w:r w:rsidR="00725CB1">
        <w:rPr>
          <w:lang w:eastAsia="es-ES"/>
        </w:rPr>
        <w:fldChar w:fldCharType="separate"/>
      </w:r>
      <w:r w:rsidR="00725CB1" w:rsidRPr="00725CB1">
        <w:rPr>
          <w:noProof/>
          <w:lang w:eastAsia="es-ES"/>
        </w:rPr>
        <w:t xml:space="preserve">TCFD </w:t>
      </w:r>
      <w:r w:rsidR="00725CB1">
        <w:rPr>
          <w:noProof/>
          <w:lang w:eastAsia="es-ES"/>
        </w:rPr>
        <w:t>(</w:t>
      </w:r>
      <w:r w:rsidR="00725CB1" w:rsidRPr="00725CB1">
        <w:rPr>
          <w:noProof/>
          <w:lang w:eastAsia="es-ES"/>
        </w:rPr>
        <w:t>2021)</w:t>
      </w:r>
      <w:r w:rsidR="00725CB1">
        <w:rPr>
          <w:lang w:eastAsia="es-ES"/>
        </w:rPr>
        <w:fldChar w:fldCharType="end"/>
      </w:r>
      <w:r w:rsidR="00725CB1">
        <w:rPr>
          <w:lang w:eastAsia="es-ES"/>
        </w:rPr>
        <w:t xml:space="preserve"> describe exactamente los mismos cuatro campos de clasificación que Samira &amp; Sandra.</w:t>
      </w:r>
    </w:p>
    <w:p w14:paraId="16A83488" w14:textId="2C987757" w:rsidR="00725CB1" w:rsidRDefault="00725CB1" w:rsidP="00A056C1">
      <w:pPr>
        <w:ind w:firstLine="0"/>
        <w:jc w:val="both"/>
        <w:rPr>
          <w:lang w:eastAsia="es-ES"/>
        </w:rPr>
      </w:pPr>
      <w:r>
        <w:rPr>
          <w:lang w:eastAsia="es-ES"/>
        </w:rPr>
        <w:t xml:space="preserve">Si bien, en algunos estudios se reconocen solo algunas de estas categorías </w:t>
      </w:r>
      <w:r>
        <w:rPr>
          <w:lang w:eastAsia="es-ES"/>
        </w:rPr>
        <w:fldChar w:fldCharType="begin" w:fldLock="1"/>
      </w:r>
      <w:r w:rsidR="00C96FD9">
        <w:rPr>
          <w:lang w:eastAsia="es-ES"/>
        </w:rPr>
        <w:instrText>ADDIN CSL_CITATION {"citationItems":[{"id":"ITEM-1","itemData":{"author":[{"dropping-particle":"","family":"BlackRock","given":"","non-dropping-particle":"","parse-names":false,"suffix":""}],"id":"ITEM-1","issue":"January","issued":{"date-parts":[["2020"]]},"title":"BlackRock Investment Stewardship ’ s approach to engagement on the TCFD and the SASB aligned reporting","type":"article-journal"},"uris":["http://www.mendeley.com/documents/?uuid=d3de9c83-aa6c-4a48-8824-7d466d28b40f"]}],"mendeley":{"formattedCitation":"(BlackRock, 2020)","plainTextFormattedCitation":"(BlackRock, 2020)","previouslyFormattedCitation":"(BlackRock, 2020)"},"properties":{"noteIndex":0},"schema":"https://github.com/citation-style-language/schema/raw/master/csl-citation.json"}</w:instrText>
      </w:r>
      <w:r>
        <w:rPr>
          <w:lang w:eastAsia="es-ES"/>
        </w:rPr>
        <w:fldChar w:fldCharType="separate"/>
      </w:r>
      <w:r w:rsidRPr="00725CB1">
        <w:rPr>
          <w:noProof/>
          <w:lang w:eastAsia="es-ES"/>
        </w:rPr>
        <w:t>(BlackRock, 2020)</w:t>
      </w:r>
      <w:r>
        <w:rPr>
          <w:lang w:eastAsia="es-ES"/>
        </w:rPr>
        <w:fldChar w:fldCharType="end"/>
      </w:r>
      <w:r>
        <w:rPr>
          <w:lang w:eastAsia="es-ES"/>
        </w:rPr>
        <w:t xml:space="preserve">, esto está asociado al tipo de estudio que se pretende realizar por parte de los investigadores. Teniendo en cuenta los diversos </w:t>
      </w:r>
      <w:r w:rsidR="00C96FD9">
        <w:rPr>
          <w:lang w:eastAsia="es-ES"/>
        </w:rPr>
        <w:t xml:space="preserve">artículos </w:t>
      </w:r>
      <w:r w:rsidR="001A2B85">
        <w:rPr>
          <w:lang w:eastAsia="es-ES"/>
        </w:rPr>
        <w:t xml:space="preserve">publicados </w:t>
      </w:r>
      <w:r w:rsidR="00C96FD9">
        <w:rPr>
          <w:lang w:eastAsia="es-ES"/>
        </w:rPr>
        <w:t xml:space="preserve">al respecto, se puede argumentar que en general los riesgos climáticos de transición se podrían clasificar en las cuatro categorías que Samira &amp; Sandra y TCFD describen: riesgos de mercado, riesgos regulatorios, riesgos reputacionales, riesgos tecnológicos. Si bien los nombres de las categorías pueden diferir entre </w:t>
      </w:r>
      <w:r w:rsidR="004F5616">
        <w:rPr>
          <w:lang w:eastAsia="es-ES"/>
        </w:rPr>
        <w:t>estudios</w:t>
      </w:r>
      <w:r w:rsidR="00C96FD9">
        <w:rPr>
          <w:lang w:eastAsia="es-ES"/>
        </w:rPr>
        <w:t xml:space="preserve">, la esencia general de la clasificación se mantiene. Es importante mencionar que en algunos casos, no se hace la distinción entre los riesgos físicos y de transición, sino que se lleva una descomposición más </w:t>
      </w:r>
      <w:r w:rsidR="00C96FD9">
        <w:rPr>
          <w:lang w:eastAsia="es-ES"/>
        </w:rPr>
        <w:lastRenderedPageBreak/>
        <w:t xml:space="preserve">profunda de las variables de transición, poniéndolas al mismo nivel que los riesgos físicos </w:t>
      </w:r>
      <w:r w:rsidR="00C96FD9">
        <w:rPr>
          <w:lang w:eastAsia="es-ES"/>
        </w:rPr>
        <w:fldChar w:fldCharType="begin" w:fldLock="1"/>
      </w:r>
      <w:r w:rsidR="00DC3659">
        <w:rPr>
          <w:lang w:eastAsia="es-ES"/>
        </w:rPr>
        <w:instrText>ADDIN CSL_CITATION {"citationItems":[{"id":"ITEM-1","itemData":{"DOI":"10.1016/j.jclepro.2017.03.018","author":[{"dropping-particle":"","family":"Federica","given":"Gasbarro","non-dropping-particle":"","parse-names":false,"suffix":""},{"dropping-particle":"","family":"Fabio","given":"Iraldo","non-dropping-particle":"","parse-names":false,"suffix":""},{"dropping-particle":"","family":"Tiberio","given":"Daddi","non-dropping-particle":"","parse-names":false,"suffix":""}],"id":"ITEM-1","issued":{"date-parts":[["2017"]]},"title":"The drivers of multinational enterprises’ climate change strategies: A quantitative study on climate-related risks and opportunities. Journal of Cleaner Production","type":"thesis"},"uris":["http://www.mendeley.com/documents/?uuid=bdc9d4b6-da78-344b-9005-257e2e4f23ae"]}],"mendeley":{"formattedCitation":"(Federica et al., 2017)","plainTextFormattedCitation":"(Federica et al., 2017)","previouslyFormattedCitation":"(Federica et al., 2017)"},"properties":{"noteIndex":0},"schema":"https://github.com/citation-style-language/schema/raw/master/csl-citation.json"}</w:instrText>
      </w:r>
      <w:r w:rsidR="00C96FD9">
        <w:rPr>
          <w:lang w:eastAsia="es-ES"/>
        </w:rPr>
        <w:fldChar w:fldCharType="separate"/>
      </w:r>
      <w:r w:rsidR="00C96FD9" w:rsidRPr="00C96FD9">
        <w:rPr>
          <w:noProof/>
          <w:lang w:eastAsia="es-ES"/>
        </w:rPr>
        <w:t>(Federica et al., 2017)</w:t>
      </w:r>
      <w:r w:rsidR="00C96FD9">
        <w:rPr>
          <w:lang w:eastAsia="es-ES"/>
        </w:rPr>
        <w:fldChar w:fldCharType="end"/>
      </w:r>
      <w:r w:rsidR="00C96FD9">
        <w:rPr>
          <w:lang w:eastAsia="es-ES"/>
        </w:rPr>
        <w:t xml:space="preserve">. </w:t>
      </w:r>
    </w:p>
    <w:p w14:paraId="666D98A6" w14:textId="12EB3AF2" w:rsidR="00C96FD9" w:rsidRDefault="00BD0C39" w:rsidP="00C96FD9">
      <w:pPr>
        <w:pStyle w:val="Ttulo3"/>
        <w:rPr>
          <w:noProof/>
        </w:rPr>
      </w:pPr>
      <w:bookmarkStart w:id="30" w:name="_Toc149994755"/>
      <w:r>
        <w:rPr>
          <w:noProof/>
        </w:rPr>
        <w:t>Identificación</w:t>
      </w:r>
      <w:r w:rsidR="00C96FD9">
        <w:rPr>
          <w:noProof/>
        </w:rPr>
        <w:t xml:space="preserve"> de variables</w:t>
      </w:r>
      <w:bookmarkEnd w:id="30"/>
    </w:p>
    <w:p w14:paraId="3C111699" w14:textId="0C7CCC22" w:rsidR="00C96FD9" w:rsidRDefault="00C96FD9" w:rsidP="00A056C1">
      <w:pPr>
        <w:jc w:val="both"/>
        <w:rPr>
          <w:lang w:eastAsia="es-ES"/>
        </w:rPr>
      </w:pPr>
      <w:r>
        <w:rPr>
          <w:lang w:eastAsia="es-ES"/>
        </w:rPr>
        <w:t xml:space="preserve">El siguiente paso en la tarea de seleccionar las variables, es revisar nuevamente la literatura, esta vez en busca de riesgos climáticos de transición que pertenezcan a las categorías predeterminadas anteriormente. Hay algunos consensos generales en </w:t>
      </w:r>
      <w:r w:rsidR="00DC3659">
        <w:rPr>
          <w:lang w:eastAsia="es-ES"/>
        </w:rPr>
        <w:t xml:space="preserve">algunas de las variables. </w:t>
      </w:r>
      <w:r w:rsidR="00DC3659">
        <w:rPr>
          <w:lang w:eastAsia="es-ES"/>
        </w:rPr>
        <w:fldChar w:fldCharType="begin" w:fldLock="1"/>
      </w:r>
      <w:r w:rsidR="00DC3659">
        <w:rPr>
          <w:lang w:eastAsia="es-ES"/>
        </w:rPr>
        <w:instrText>ADDIN CSL_CITATION {"citationItems":[{"id":"ITEM-1","itemData":{"DOI":"10.1002/bse.2651","author":[{"dropping-particle":"","family":"Samira","given":"Demaria","non-dropping-particle":"","parse-names":false,"suffix":""},{"dropping-particle":"","family":"Sandra","given":"Rigot","non-dropping-particle":"","parse-names":false,"suffix":""}],"id":"ITEM-1","issued":{"date-parts":[["2020"]]},"title":"Corporate environmental reporting: Are French firms compliant with the Task Force on Climate Financial Disclosures’ recommendations? Business Strategy and the Environment","type":"webpage"},"uris":["http://www.mendeley.com/documents/?uuid=8cf7d83a-269c-3265-ab3a-dbc6bff09908"]}],"mendeley":{"formattedCitation":"(Samira &amp; Sandra, 2020)","manualFormatting":"Samira &amp; Sandra (2020)","plainTextFormattedCitation":"(Samira &amp; Sandra, 2020)","previouslyFormattedCitation":"(Samira &amp; Sandra, 2020)"},"properties":{"noteIndex":0},"schema":"https://github.com/citation-style-language/schema/raw/master/csl-citation.json"}</w:instrText>
      </w:r>
      <w:r w:rsidR="00DC3659">
        <w:rPr>
          <w:lang w:eastAsia="es-ES"/>
        </w:rPr>
        <w:fldChar w:fldCharType="separate"/>
      </w:r>
      <w:r w:rsidR="00DC3659" w:rsidRPr="00DC3659">
        <w:rPr>
          <w:noProof/>
          <w:lang w:eastAsia="es-ES"/>
        </w:rPr>
        <w:t xml:space="preserve">Samira &amp; Sandra </w:t>
      </w:r>
      <w:r w:rsidR="00DC3659">
        <w:rPr>
          <w:noProof/>
          <w:lang w:eastAsia="es-ES"/>
        </w:rPr>
        <w:t>(</w:t>
      </w:r>
      <w:r w:rsidR="00DC3659" w:rsidRPr="00DC3659">
        <w:rPr>
          <w:noProof/>
          <w:lang w:eastAsia="es-ES"/>
        </w:rPr>
        <w:t>2020)</w:t>
      </w:r>
      <w:r w:rsidR="00DC3659">
        <w:rPr>
          <w:lang w:eastAsia="es-ES"/>
        </w:rPr>
        <w:fldChar w:fldCharType="end"/>
      </w:r>
      <w:r w:rsidR="00DC3659">
        <w:rPr>
          <w:lang w:eastAsia="es-ES"/>
        </w:rPr>
        <w:t xml:space="preserve"> y </w:t>
      </w:r>
      <w:r w:rsidR="00DC3659">
        <w:rPr>
          <w:lang w:eastAsia="es-ES"/>
        </w:rPr>
        <w:fldChar w:fldCharType="begin" w:fldLock="1"/>
      </w:r>
      <w:r w:rsidR="00BF7C5D">
        <w:rPr>
          <w:lang w:eastAsia="es-ES"/>
        </w:rPr>
        <w:instrText>ADDIN CSL_CITATION {"citationItems":[{"id":"ITEM-1","itemData":{"author":[{"dropping-particle":"","family":"TCFD","given":"","non-dropping-particle":"","parse-names":false,"suffix":""}],"id":"ITEM-1","issued":{"date-parts":[["2021"]]},"title":"Task Force on Climate-related Financial Disclosures","type":"report"},"uris":["http://www.mendeley.com/documents/?uuid=46c73e3c-99c9-396f-9ce8-32b6790d08d8"]}],"mendeley":{"formattedCitation":"(TCFD, 2021)","manualFormatting":"TCFD (2021)","plainTextFormattedCitation":"(TCFD, 2021)","previouslyFormattedCitation":"(TCFD, 2021)"},"properties":{"noteIndex":0},"schema":"https://github.com/citation-style-language/schema/raw/master/csl-citation.json"}</w:instrText>
      </w:r>
      <w:r w:rsidR="00DC3659">
        <w:rPr>
          <w:lang w:eastAsia="es-ES"/>
        </w:rPr>
        <w:fldChar w:fldCharType="separate"/>
      </w:r>
      <w:r w:rsidR="00DC3659" w:rsidRPr="00DC3659">
        <w:rPr>
          <w:noProof/>
          <w:lang w:eastAsia="es-ES"/>
        </w:rPr>
        <w:t xml:space="preserve">TCFD </w:t>
      </w:r>
      <w:r w:rsidR="00DC3659">
        <w:rPr>
          <w:noProof/>
          <w:lang w:eastAsia="es-ES"/>
        </w:rPr>
        <w:t>(</w:t>
      </w:r>
      <w:r w:rsidR="00DC3659" w:rsidRPr="00DC3659">
        <w:rPr>
          <w:noProof/>
          <w:lang w:eastAsia="es-ES"/>
        </w:rPr>
        <w:t>2021)</w:t>
      </w:r>
      <w:r w:rsidR="00DC3659">
        <w:rPr>
          <w:lang w:eastAsia="es-ES"/>
        </w:rPr>
        <w:fldChar w:fldCharType="end"/>
      </w:r>
      <w:r w:rsidR="00DC3659">
        <w:rPr>
          <w:lang w:eastAsia="es-ES"/>
        </w:rPr>
        <w:t xml:space="preserve"> coinciden en variables como </w:t>
      </w:r>
      <w:r w:rsidR="001E28E3">
        <w:rPr>
          <w:lang w:eastAsia="es-ES"/>
        </w:rPr>
        <w:t>c</w:t>
      </w:r>
      <w:r w:rsidR="00DC3659" w:rsidRPr="00DC3659">
        <w:rPr>
          <w:lang w:eastAsia="es-ES"/>
        </w:rPr>
        <w:t>ambios en las necesidades energéticas regionales o estacionales</w:t>
      </w:r>
      <w:r w:rsidR="00DC3659">
        <w:rPr>
          <w:lang w:eastAsia="es-ES"/>
        </w:rPr>
        <w:t>, creciente preocupación de las partes interesadas por el cambio climático, actitud negativa de las partes involucradas si no se toman en serio sus preocupaciones sobre el cambio climático, entre otras. En total, se revisaron m</w:t>
      </w:r>
      <w:r w:rsidR="001E28E3">
        <w:rPr>
          <w:lang w:eastAsia="es-ES"/>
        </w:rPr>
        <w:t>á</w:t>
      </w:r>
      <w:r w:rsidR="00DC3659">
        <w:rPr>
          <w:lang w:eastAsia="es-ES"/>
        </w:rPr>
        <w:t xml:space="preserve">s de 30 </w:t>
      </w:r>
      <w:r w:rsidR="00552981">
        <w:rPr>
          <w:lang w:eastAsia="es-ES"/>
        </w:rPr>
        <w:t>artículos, buscando</w:t>
      </w:r>
      <w:r w:rsidR="00DC3659">
        <w:rPr>
          <w:lang w:eastAsia="es-ES"/>
        </w:rPr>
        <w:t xml:space="preserve"> todas las posibles variables de transición para el estudio.</w:t>
      </w:r>
    </w:p>
    <w:p w14:paraId="474A7F47" w14:textId="659726E6" w:rsidR="002A662B" w:rsidRDefault="002A662B" w:rsidP="00A056C1">
      <w:pPr>
        <w:jc w:val="both"/>
        <w:rPr>
          <w:lang w:eastAsia="es-ES"/>
        </w:rPr>
      </w:pPr>
      <w:r>
        <w:rPr>
          <w:lang w:eastAsia="es-ES"/>
        </w:rPr>
        <w:t xml:space="preserve">En total, se identificaron 53 variables de riesgo climático de transición diferentes, 11 de las cuales son variables de mercado, 15 de riesgo regulatorio, 14 reputacionales y 13 de riesgos tecnológicos. El propósito de esta revisión era definir las variables que se van a utilizar para la matriz. Paso siguiente se procede a hacer un segundo estudio en la literatura, en conjunto con un análisis de las variables encontradas, para depurar, agrupar y filtrar las variables, con el propósito de obtener como resultado una selección de variables </w:t>
      </w:r>
      <w:r w:rsidR="00C81913">
        <w:rPr>
          <w:lang w:eastAsia="es-ES"/>
        </w:rPr>
        <w:t>más</w:t>
      </w:r>
      <w:r>
        <w:rPr>
          <w:lang w:eastAsia="es-ES"/>
        </w:rPr>
        <w:t xml:space="preserve"> refinada, que permita seleccionar las variables más trascendentes según la literatura.</w:t>
      </w:r>
    </w:p>
    <w:p w14:paraId="1001AC06" w14:textId="04AB427E" w:rsidR="002A662B" w:rsidRDefault="00851771" w:rsidP="002A662B">
      <w:pPr>
        <w:pStyle w:val="Ttulo3"/>
      </w:pPr>
      <w:bookmarkStart w:id="31" w:name="_Toc149994756"/>
      <w:r>
        <w:lastRenderedPageBreak/>
        <w:t>S</w:t>
      </w:r>
      <w:r w:rsidR="002A662B">
        <w:t>elección de variables</w:t>
      </w:r>
      <w:bookmarkEnd w:id="31"/>
    </w:p>
    <w:p w14:paraId="0F16F506" w14:textId="46781B2B" w:rsidR="001E28E3" w:rsidRDefault="002A662B" w:rsidP="00A056C1">
      <w:pPr>
        <w:jc w:val="both"/>
        <w:rPr>
          <w:lang w:eastAsia="es-ES"/>
        </w:rPr>
        <w:sectPr w:rsidR="001E28E3" w:rsidSect="00F55D2E">
          <w:pgSz w:w="12242" w:h="15842" w:code="1"/>
          <w:pgMar w:top="1418" w:right="1418" w:bottom="1418" w:left="1418" w:header="1134" w:footer="1134" w:gutter="0"/>
          <w:cols w:space="720"/>
        </w:sectPr>
      </w:pPr>
      <w:r>
        <w:rPr>
          <w:lang w:eastAsia="es-ES"/>
        </w:rPr>
        <w:t>Con el propósito de acotar el alcance de investigación de las variables, se buscó realizar una reducción de estas primeras 53 variables identificadas, priorizando aquellas variables que más se</w:t>
      </w:r>
      <w:r w:rsidR="00851771">
        <w:rPr>
          <w:lang w:eastAsia="es-ES"/>
        </w:rPr>
        <w:t xml:space="preserve"> abordaban por parte de los autores</w:t>
      </w:r>
      <w:r>
        <w:rPr>
          <w:lang w:eastAsia="es-ES"/>
        </w:rPr>
        <w:t xml:space="preserve"> o aquellas que más relevancia tenían en los estudios. De igual manera</w:t>
      </w:r>
      <w:r w:rsidR="008F247F">
        <w:rPr>
          <w:lang w:eastAsia="es-ES"/>
        </w:rPr>
        <w:t>,</w:t>
      </w:r>
      <w:r>
        <w:rPr>
          <w:lang w:eastAsia="es-ES"/>
        </w:rPr>
        <w:t xml:space="preserve"> se buscó uni</w:t>
      </w:r>
      <w:r w:rsidR="008F247F">
        <w:rPr>
          <w:lang w:eastAsia="es-ES"/>
        </w:rPr>
        <w:t>ficar</w:t>
      </w:r>
      <w:r>
        <w:rPr>
          <w:lang w:eastAsia="es-ES"/>
        </w:rPr>
        <w:t xml:space="preserve"> ciertas variables que tenían características similares entre </w:t>
      </w:r>
      <w:r w:rsidR="00E02337">
        <w:rPr>
          <w:lang w:eastAsia="es-ES"/>
        </w:rPr>
        <w:t>sí</w:t>
      </w:r>
      <w:r>
        <w:rPr>
          <w:lang w:eastAsia="es-ES"/>
        </w:rPr>
        <w:t xml:space="preserve">, dando origen a variables más globales y completas. En la </w:t>
      </w:r>
      <w:r w:rsidR="00155004">
        <w:rPr>
          <w:lang w:eastAsia="es-ES"/>
        </w:rPr>
        <w:t xml:space="preserve">Tabla 2 </w:t>
      </w:r>
      <w:r>
        <w:rPr>
          <w:lang w:eastAsia="es-ES"/>
        </w:rPr>
        <w:t>se muestran las variables seleccionadas</w:t>
      </w:r>
      <w:r w:rsidR="00851771">
        <w:rPr>
          <w:lang w:eastAsia="es-ES"/>
        </w:rPr>
        <w:t xml:space="preserve"> con su respectiva codificación, su clasificación de acuerdo con las cuatro tipologías de riesgo definidas (regulatorio, tecnológico, mercado, reputacional), los impactos que generan en la organización reportados en la literatura y su respectiva fuente de consulta.</w:t>
      </w:r>
    </w:p>
    <w:tbl>
      <w:tblPr>
        <w:tblW w:w="13126" w:type="dxa"/>
        <w:tblCellSpacing w:w="0" w:type="dxa"/>
        <w:tblCellMar>
          <w:left w:w="0" w:type="dxa"/>
          <w:right w:w="0" w:type="dxa"/>
        </w:tblCellMar>
        <w:tblLook w:val="04A0" w:firstRow="1" w:lastRow="0" w:firstColumn="1" w:lastColumn="0" w:noHBand="0" w:noVBand="1"/>
      </w:tblPr>
      <w:tblGrid>
        <w:gridCol w:w="1041"/>
        <w:gridCol w:w="950"/>
        <w:gridCol w:w="1332"/>
        <w:gridCol w:w="3593"/>
        <w:gridCol w:w="2812"/>
        <w:gridCol w:w="3398"/>
      </w:tblGrid>
      <w:tr w:rsidR="007028FC" w:rsidRPr="00552981" w14:paraId="70905F3D"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749842EC" w14:textId="5C4D1345" w:rsidR="007028FC" w:rsidRPr="007028FC" w:rsidRDefault="007028FC" w:rsidP="00D019EE">
            <w:pPr>
              <w:pStyle w:val="Descripcin"/>
              <w:rPr>
                <w:b/>
                <w:bCs/>
                <w:i w:val="0"/>
                <w:iCs w:val="0"/>
                <w:color w:val="auto"/>
                <w:sz w:val="16"/>
                <w:szCs w:val="16"/>
                <w:lang w:val="es-CO"/>
              </w:rPr>
            </w:pPr>
            <w:r>
              <w:rPr>
                <w:b/>
                <w:bCs/>
                <w:i w:val="0"/>
                <w:iCs w:val="0"/>
                <w:color w:val="auto"/>
                <w:sz w:val="16"/>
                <w:szCs w:val="16"/>
                <w:lang w:val="es-CO"/>
              </w:rPr>
              <w:lastRenderedPageBreak/>
              <w:t>Código</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04C3CF7" w14:textId="21190D6F" w:rsidR="007028FC" w:rsidRPr="007028FC" w:rsidRDefault="007028FC" w:rsidP="00D019EE">
            <w:pPr>
              <w:pStyle w:val="Descripcin"/>
              <w:ind w:firstLine="0"/>
              <w:rPr>
                <w:b/>
                <w:bCs/>
                <w:i w:val="0"/>
                <w:iCs w:val="0"/>
                <w:color w:val="auto"/>
                <w:sz w:val="16"/>
                <w:szCs w:val="16"/>
                <w:lang w:val="es-CO"/>
              </w:rPr>
            </w:pPr>
            <w:r>
              <w:rPr>
                <w:b/>
                <w:bCs/>
                <w:i w:val="0"/>
                <w:iCs w:val="0"/>
                <w:color w:val="auto"/>
                <w:sz w:val="16"/>
                <w:szCs w:val="16"/>
                <w:lang w:val="es-CO"/>
              </w:rPr>
              <w:t>Tipo de Riesgo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57CB927E" w14:textId="509B5761" w:rsidR="007028FC" w:rsidRPr="007028FC" w:rsidRDefault="007028FC" w:rsidP="00D019EE">
            <w:pPr>
              <w:pStyle w:val="Descripcin"/>
              <w:ind w:firstLine="0"/>
              <w:rPr>
                <w:b/>
                <w:bCs/>
                <w:i w:val="0"/>
                <w:iCs w:val="0"/>
                <w:color w:val="auto"/>
                <w:sz w:val="16"/>
                <w:szCs w:val="16"/>
                <w:lang w:val="es-CO"/>
              </w:rPr>
            </w:pPr>
            <w:r>
              <w:rPr>
                <w:b/>
                <w:bCs/>
                <w:i w:val="0"/>
                <w:iCs w:val="0"/>
                <w:color w:val="auto"/>
                <w:sz w:val="16"/>
                <w:szCs w:val="16"/>
                <w:lang w:val="es-CO"/>
              </w:rPr>
              <w:t>Nombre</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7BFBF8B" w14:textId="69803CA1" w:rsidR="007028FC" w:rsidRPr="007028FC" w:rsidRDefault="007028FC" w:rsidP="00D019EE">
            <w:pPr>
              <w:pStyle w:val="Descripcin"/>
              <w:ind w:firstLine="0"/>
              <w:rPr>
                <w:b/>
                <w:bCs/>
                <w:i w:val="0"/>
                <w:iCs w:val="0"/>
                <w:color w:val="auto"/>
                <w:sz w:val="16"/>
                <w:szCs w:val="16"/>
                <w:lang w:val="es-CO"/>
              </w:rPr>
            </w:pPr>
            <w:r>
              <w:rPr>
                <w:b/>
                <w:bCs/>
                <w:i w:val="0"/>
                <w:iCs w:val="0"/>
                <w:color w:val="auto"/>
                <w:sz w:val="16"/>
                <w:szCs w:val="16"/>
                <w:lang w:val="es-CO"/>
              </w:rPr>
              <w:t>Descripción</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5224142E" w14:textId="7A20CF1C" w:rsidR="007028FC" w:rsidRPr="007028FC" w:rsidRDefault="007028FC" w:rsidP="00D019EE">
            <w:pPr>
              <w:pStyle w:val="Descripcin"/>
              <w:ind w:firstLine="0"/>
              <w:rPr>
                <w:b/>
                <w:bCs/>
                <w:i w:val="0"/>
                <w:iCs w:val="0"/>
                <w:color w:val="auto"/>
                <w:sz w:val="16"/>
                <w:szCs w:val="16"/>
                <w:lang w:val="es-CO"/>
              </w:rPr>
            </w:pPr>
            <w:r>
              <w:rPr>
                <w:b/>
                <w:bCs/>
                <w:i w:val="0"/>
                <w:iCs w:val="0"/>
                <w:color w:val="auto"/>
                <w:sz w:val="16"/>
                <w:szCs w:val="16"/>
                <w:lang w:val="es-CO"/>
              </w:rPr>
              <w:t>Impacto</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D271D00" w14:textId="210764EB" w:rsidR="007028FC" w:rsidRPr="007028FC" w:rsidRDefault="007028FC" w:rsidP="00D019EE">
            <w:pPr>
              <w:pStyle w:val="Descripcin"/>
              <w:ind w:firstLine="0"/>
              <w:rPr>
                <w:i w:val="0"/>
                <w:iCs w:val="0"/>
                <w:color w:val="auto"/>
                <w:sz w:val="16"/>
                <w:szCs w:val="16"/>
                <w:lang w:val="en-US"/>
              </w:rPr>
            </w:pPr>
            <w:proofErr w:type="spellStart"/>
            <w:r>
              <w:rPr>
                <w:b/>
                <w:bCs/>
                <w:i w:val="0"/>
                <w:iCs w:val="0"/>
                <w:color w:val="auto"/>
                <w:sz w:val="16"/>
                <w:szCs w:val="16"/>
                <w:lang w:val="en-US"/>
              </w:rPr>
              <w:t>Referencia</w:t>
            </w:r>
            <w:proofErr w:type="spellEnd"/>
          </w:p>
        </w:tc>
      </w:tr>
      <w:tr w:rsidR="00D019EE" w:rsidRPr="00BB6E11" w14:paraId="316FE5D8"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7ABB0E25" w14:textId="3A147392" w:rsidR="00D019EE" w:rsidRDefault="00C52ECA" w:rsidP="00D019EE">
            <w:pPr>
              <w:pStyle w:val="Descripcin"/>
              <w:rPr>
                <w:i w:val="0"/>
                <w:iCs w:val="0"/>
                <w:color w:val="auto"/>
                <w:sz w:val="16"/>
                <w:szCs w:val="16"/>
                <w:lang w:val="es-CO"/>
              </w:rPr>
            </w:pPr>
            <w:proofErr w:type="spellStart"/>
            <w:r>
              <w:rPr>
                <w:i w:val="0"/>
                <w:iCs w:val="0"/>
                <w:color w:val="auto"/>
                <w:sz w:val="16"/>
                <w:szCs w:val="16"/>
                <w:lang w:val="es-CO"/>
              </w:rPr>
              <w:t>Rreg</w:t>
            </w:r>
            <w:proofErr w:type="spellEnd"/>
            <w:r>
              <w:rPr>
                <w:i w:val="0"/>
                <w:iCs w:val="0"/>
                <w:color w:val="auto"/>
                <w:sz w:val="16"/>
                <w:szCs w:val="16"/>
                <w:lang w:val="es-CO"/>
              </w:rPr>
              <w:t xml:space="preserve"> 1</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751A9820" w14:textId="44673BAD" w:rsidR="00D019EE" w:rsidRPr="00D019EE" w:rsidRDefault="00D019EE" w:rsidP="00D019EE">
            <w:pPr>
              <w:pStyle w:val="Descripcin"/>
              <w:ind w:firstLine="0"/>
              <w:rPr>
                <w:i w:val="0"/>
                <w:iCs w:val="0"/>
                <w:color w:val="auto"/>
                <w:sz w:val="16"/>
                <w:szCs w:val="16"/>
                <w:lang w:val="es-CO"/>
              </w:rPr>
            </w:pPr>
            <w:r w:rsidRPr="000E226A">
              <w:rPr>
                <w:i w:val="0"/>
                <w:iCs w:val="0"/>
                <w:color w:val="auto"/>
                <w:sz w:val="16"/>
                <w:szCs w:val="16"/>
                <w:lang w:val="es-CO"/>
              </w:rPr>
              <w:t>Regulatorio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84AF90A" w14:textId="476946B2" w:rsidR="00D019EE" w:rsidRPr="000E226A" w:rsidRDefault="00D019EE" w:rsidP="00D019EE">
            <w:pPr>
              <w:pStyle w:val="Descripcin"/>
              <w:ind w:firstLine="0"/>
              <w:rPr>
                <w:i w:val="0"/>
                <w:iCs w:val="0"/>
                <w:color w:val="auto"/>
                <w:sz w:val="16"/>
                <w:szCs w:val="16"/>
                <w:lang w:val="es-CO"/>
              </w:rPr>
            </w:pPr>
            <w:r w:rsidRPr="000E226A">
              <w:rPr>
                <w:i w:val="0"/>
                <w:iCs w:val="0"/>
                <w:color w:val="auto"/>
                <w:sz w:val="16"/>
                <w:szCs w:val="16"/>
                <w:lang w:val="es-CO"/>
              </w:rPr>
              <w:t xml:space="preserve">Esquemas de </w:t>
            </w:r>
            <w:proofErr w:type="spellStart"/>
            <w:r w:rsidRPr="000E226A">
              <w:rPr>
                <w:i w:val="0"/>
                <w:iCs w:val="0"/>
                <w:color w:val="auto"/>
                <w:sz w:val="16"/>
                <w:szCs w:val="16"/>
                <w:lang w:val="es-CO"/>
              </w:rPr>
              <w:t>cap</w:t>
            </w:r>
            <w:proofErr w:type="spellEnd"/>
            <w:r w:rsidRPr="000E226A">
              <w:rPr>
                <w:i w:val="0"/>
                <w:iCs w:val="0"/>
                <w:color w:val="auto"/>
                <w:sz w:val="16"/>
                <w:szCs w:val="16"/>
                <w:lang w:val="es-CO"/>
              </w:rPr>
              <w:t xml:space="preserve"> and </w:t>
            </w:r>
            <w:proofErr w:type="spellStart"/>
            <w:r w:rsidRPr="000E226A">
              <w:rPr>
                <w:i w:val="0"/>
                <w:iCs w:val="0"/>
                <w:color w:val="auto"/>
                <w:sz w:val="16"/>
                <w:szCs w:val="16"/>
                <w:lang w:val="es-CO"/>
              </w:rPr>
              <w:t>trade</w:t>
            </w:r>
            <w:proofErr w:type="spellEnd"/>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0F40C063" w14:textId="156BD629" w:rsidR="00D019EE" w:rsidRPr="000E226A" w:rsidRDefault="00D019EE" w:rsidP="00D019EE">
            <w:pPr>
              <w:pStyle w:val="Descripcin"/>
              <w:ind w:firstLine="0"/>
              <w:rPr>
                <w:i w:val="0"/>
                <w:iCs w:val="0"/>
                <w:color w:val="auto"/>
                <w:sz w:val="16"/>
                <w:szCs w:val="16"/>
                <w:lang w:val="es-CO"/>
              </w:rPr>
            </w:pPr>
            <w:r w:rsidRPr="000E226A">
              <w:rPr>
                <w:i w:val="0"/>
                <w:iCs w:val="0"/>
                <w:color w:val="auto"/>
                <w:sz w:val="16"/>
                <w:szCs w:val="16"/>
                <w:lang w:val="es-CO"/>
              </w:rPr>
              <w:t xml:space="preserve">Los esquemas </w:t>
            </w:r>
            <w:proofErr w:type="spellStart"/>
            <w:r w:rsidRPr="000E226A">
              <w:rPr>
                <w:i w:val="0"/>
                <w:iCs w:val="0"/>
                <w:color w:val="auto"/>
                <w:sz w:val="16"/>
                <w:szCs w:val="16"/>
                <w:lang w:val="es-CO"/>
              </w:rPr>
              <w:t>Cap</w:t>
            </w:r>
            <w:proofErr w:type="spellEnd"/>
            <w:r w:rsidRPr="000E226A">
              <w:rPr>
                <w:i w:val="0"/>
                <w:iCs w:val="0"/>
                <w:color w:val="auto"/>
                <w:sz w:val="16"/>
                <w:szCs w:val="16"/>
                <w:lang w:val="es-CO"/>
              </w:rPr>
              <w:t xml:space="preserve"> and </w:t>
            </w:r>
            <w:proofErr w:type="spellStart"/>
            <w:r w:rsidRPr="000E226A">
              <w:rPr>
                <w:i w:val="0"/>
                <w:iCs w:val="0"/>
                <w:color w:val="auto"/>
                <w:sz w:val="16"/>
                <w:szCs w:val="16"/>
                <w:lang w:val="es-CO"/>
              </w:rPr>
              <w:t>trade</w:t>
            </w:r>
            <w:proofErr w:type="spellEnd"/>
            <w:r w:rsidRPr="000E226A">
              <w:rPr>
                <w:i w:val="0"/>
                <w:iCs w:val="0"/>
                <w:color w:val="auto"/>
                <w:sz w:val="16"/>
                <w:szCs w:val="16"/>
                <w:lang w:val="es-CO"/>
              </w:rPr>
              <w:t xml:space="preserve"> son esquemas en los cuales las empresas pueden comercializar sus emisiones. </w:t>
            </w:r>
            <w:r w:rsidRPr="000E226A">
              <w:rPr>
                <w:i w:val="0"/>
                <w:iCs w:val="0"/>
                <w:color w:val="auto"/>
                <w:sz w:val="16"/>
                <w:szCs w:val="16"/>
                <w:lang w:val="es-CO"/>
              </w:rPr>
              <w:br/>
            </w:r>
            <w:r w:rsidR="00316F21">
              <w:rPr>
                <w:i w:val="0"/>
                <w:iCs w:val="0"/>
                <w:color w:val="auto"/>
                <w:sz w:val="16"/>
                <w:szCs w:val="16"/>
                <w:lang w:val="es-CO"/>
              </w:rPr>
              <w:t>E</w:t>
            </w:r>
            <w:r w:rsidRPr="000E226A">
              <w:rPr>
                <w:i w:val="0"/>
                <w:iCs w:val="0"/>
                <w:color w:val="auto"/>
                <w:sz w:val="16"/>
                <w:szCs w:val="16"/>
                <w:lang w:val="es-CO"/>
              </w:rPr>
              <w:t xml:space="preserve">l </w:t>
            </w:r>
            <w:proofErr w:type="spellStart"/>
            <w:r w:rsidRPr="000E226A">
              <w:rPr>
                <w:i w:val="0"/>
                <w:iCs w:val="0"/>
                <w:color w:val="auto"/>
                <w:sz w:val="16"/>
                <w:szCs w:val="16"/>
                <w:lang w:val="es-CO"/>
              </w:rPr>
              <w:t>Cap</w:t>
            </w:r>
            <w:proofErr w:type="spellEnd"/>
            <w:r w:rsidRPr="000E226A">
              <w:rPr>
                <w:i w:val="0"/>
                <w:iCs w:val="0"/>
                <w:color w:val="auto"/>
                <w:sz w:val="16"/>
                <w:szCs w:val="16"/>
                <w:lang w:val="es-CO"/>
              </w:rPr>
              <w:t xml:space="preserve">, es el tope de emisiones que una empresa puede generar, y está determinado por la ley. El </w:t>
            </w:r>
            <w:proofErr w:type="spellStart"/>
            <w:r w:rsidRPr="000E226A">
              <w:rPr>
                <w:i w:val="0"/>
                <w:iCs w:val="0"/>
                <w:color w:val="auto"/>
                <w:sz w:val="16"/>
                <w:szCs w:val="16"/>
                <w:lang w:val="es-CO"/>
              </w:rPr>
              <w:t>trade</w:t>
            </w:r>
            <w:proofErr w:type="spellEnd"/>
            <w:r w:rsidRPr="000E226A">
              <w:rPr>
                <w:i w:val="0"/>
                <w:iCs w:val="0"/>
                <w:color w:val="auto"/>
                <w:sz w:val="16"/>
                <w:szCs w:val="16"/>
                <w:lang w:val="es-CO"/>
              </w:rPr>
              <w:t>, es la posibilidad que tienen las empresas de negociar sus "permisos para emitir" con empresas que emiten menos de lo que permite la ley, y por lo tanto tienen cierto "cupo" de emisiones para negociar</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22161F1" w14:textId="5AD2893E" w:rsidR="00D019EE" w:rsidRPr="000E226A" w:rsidRDefault="00D019EE" w:rsidP="00D019EE">
            <w:pPr>
              <w:pStyle w:val="Descripcin"/>
              <w:ind w:firstLine="0"/>
              <w:rPr>
                <w:i w:val="0"/>
                <w:iCs w:val="0"/>
                <w:color w:val="auto"/>
                <w:sz w:val="16"/>
                <w:szCs w:val="16"/>
                <w:lang w:val="es-CO"/>
              </w:rPr>
            </w:pPr>
            <w:r w:rsidRPr="000E226A">
              <w:rPr>
                <w:i w:val="0"/>
                <w:iCs w:val="0"/>
                <w:color w:val="auto"/>
                <w:sz w:val="16"/>
                <w:szCs w:val="16"/>
                <w:lang w:val="es-CO"/>
              </w:rPr>
              <w:t>1. Cancelaciones, deterioro de activos y retiro anticipado de activos existentes debido a cambios en las políticas</w:t>
            </w:r>
            <w:r w:rsidRPr="000E226A">
              <w:rPr>
                <w:i w:val="0"/>
                <w:iCs w:val="0"/>
                <w:color w:val="auto"/>
                <w:sz w:val="16"/>
                <w:szCs w:val="16"/>
                <w:lang w:val="es-CO"/>
              </w:rPr>
              <w:br/>
              <w:t>2. Mayor costo operativo</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5B73B70" w14:textId="59E7E610" w:rsidR="00D019EE" w:rsidRPr="00D479E8" w:rsidRDefault="00D019EE" w:rsidP="00D019EE">
            <w:pPr>
              <w:pStyle w:val="Descripcin"/>
              <w:ind w:firstLine="0"/>
              <w:rPr>
                <w:i w:val="0"/>
                <w:iCs w:val="0"/>
                <w:color w:val="auto"/>
                <w:sz w:val="16"/>
                <w:szCs w:val="16"/>
                <w:lang w:val="en-US"/>
              </w:rPr>
            </w:pPr>
            <w:r w:rsidRPr="00D479E8">
              <w:rPr>
                <w:i w:val="0"/>
                <w:iCs w:val="0"/>
                <w:color w:val="auto"/>
                <w:sz w:val="16"/>
                <w:szCs w:val="16"/>
                <w:lang w:val="en-US"/>
              </w:rPr>
              <w:t>Demaria &amp; Rigot (2021); TCFD, (2017); S&amp;P Global (2021)</w:t>
            </w:r>
          </w:p>
        </w:tc>
      </w:tr>
      <w:tr w:rsidR="00C52ECA" w:rsidRPr="000E226A" w14:paraId="5DCA1AC4"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7ED10D94" w14:textId="7A3E78EF" w:rsidR="00C52ECA" w:rsidRDefault="00C52ECA" w:rsidP="00C52ECA">
            <w:pPr>
              <w:pStyle w:val="Descripcin"/>
              <w:rPr>
                <w:i w:val="0"/>
                <w:iCs w:val="0"/>
                <w:color w:val="auto"/>
                <w:sz w:val="16"/>
                <w:szCs w:val="16"/>
                <w:lang w:val="es-CO"/>
              </w:rPr>
            </w:pPr>
            <w:proofErr w:type="spellStart"/>
            <w:r>
              <w:rPr>
                <w:i w:val="0"/>
                <w:iCs w:val="0"/>
                <w:color w:val="auto"/>
                <w:sz w:val="16"/>
                <w:szCs w:val="16"/>
                <w:lang w:val="es-CO"/>
              </w:rPr>
              <w:t>Rreg</w:t>
            </w:r>
            <w:proofErr w:type="spellEnd"/>
            <w:r>
              <w:rPr>
                <w:i w:val="0"/>
                <w:iCs w:val="0"/>
                <w:color w:val="auto"/>
                <w:sz w:val="16"/>
                <w:szCs w:val="16"/>
                <w:lang w:val="es-CO"/>
              </w:rPr>
              <w:t xml:space="preserve"> 2</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502D835" w14:textId="119014CE"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Regulatorio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92D4364" w14:textId="5F7ADFD3"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Aumento del impuesto al carbono </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87F40DF" w14:textId="07E99C50"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Estrategia regulatoria que buscar la reducción de las emisiones de gases de efecto invernadero por parte de las compañías</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74E89A47" w14:textId="281E69CD"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Disminución en el margen operativo de ciertos sectores debido a un mayor costo de emisión de CO2</w:t>
            </w:r>
            <w:r w:rsidRPr="000E226A">
              <w:rPr>
                <w:i w:val="0"/>
                <w:iCs w:val="0"/>
                <w:color w:val="auto"/>
                <w:sz w:val="16"/>
                <w:szCs w:val="16"/>
                <w:lang w:val="es-CO"/>
              </w:rPr>
              <w:br/>
              <w:t>2. Reducción de los precios de las inversiones y las acciones, y mayores tasas de interés</w:t>
            </w:r>
            <w:r w:rsidRPr="000E226A">
              <w:rPr>
                <w:i w:val="0"/>
                <w:iCs w:val="0"/>
                <w:color w:val="auto"/>
                <w:sz w:val="16"/>
                <w:szCs w:val="16"/>
                <w:lang w:val="es-CO"/>
              </w:rPr>
              <w:br/>
              <w:t>3. Pérdidas de ventajas competitivas en precios</w:t>
            </w:r>
            <w:r w:rsidRPr="000E226A">
              <w:rPr>
                <w:i w:val="0"/>
                <w:iCs w:val="0"/>
                <w:color w:val="auto"/>
                <w:sz w:val="16"/>
                <w:szCs w:val="16"/>
                <w:lang w:val="es-CO"/>
              </w:rPr>
              <w:br/>
              <w:t>4. Impacto en margen Neto de las utilidades</w:t>
            </w:r>
            <w:r w:rsidRPr="000E226A">
              <w:rPr>
                <w:i w:val="0"/>
                <w:iCs w:val="0"/>
                <w:color w:val="auto"/>
                <w:sz w:val="16"/>
                <w:szCs w:val="16"/>
                <w:lang w:val="es-CO"/>
              </w:rPr>
              <w:br/>
              <w:t xml:space="preserve">5. Mayores costos de cumplimiento y mayores primas de seguros </w:t>
            </w:r>
            <w:r w:rsidRPr="000E226A">
              <w:rPr>
                <w:i w:val="0"/>
                <w:iCs w:val="0"/>
                <w:color w:val="auto"/>
                <w:sz w:val="16"/>
                <w:szCs w:val="16"/>
                <w:lang w:val="es-CO"/>
              </w:rPr>
              <w:br/>
              <w:t>6. Aumentar de los precios de la industria y los consumidores de productos con alto contenido de carbono en un futuro próximo</w:t>
            </w:r>
            <w:r w:rsidRPr="000E226A">
              <w:rPr>
                <w:i w:val="0"/>
                <w:iCs w:val="0"/>
                <w:color w:val="auto"/>
                <w:sz w:val="16"/>
                <w:szCs w:val="16"/>
                <w:lang w:val="es-CO"/>
              </w:rPr>
              <w:br/>
              <w:t>7. Limitación en la venta de productos con alto contenido de carbono</w:t>
            </w:r>
            <w:r w:rsidRPr="000E226A">
              <w:rPr>
                <w:i w:val="0"/>
                <w:iCs w:val="0"/>
                <w:color w:val="auto"/>
                <w:sz w:val="16"/>
                <w:szCs w:val="16"/>
                <w:lang w:val="es-CO"/>
              </w:rPr>
              <w:br/>
              <w:t>8. Afectación en la calidad crediticia de las empresas con uso intensivo de GEI</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A738BE2" w14:textId="31CDB4EA" w:rsidR="00C52ECA" w:rsidRPr="000E226A" w:rsidRDefault="00C52ECA" w:rsidP="00C52ECA">
            <w:pPr>
              <w:pStyle w:val="Descripcin"/>
              <w:ind w:firstLine="0"/>
              <w:rPr>
                <w:i w:val="0"/>
                <w:iCs w:val="0"/>
                <w:color w:val="auto"/>
                <w:sz w:val="16"/>
                <w:szCs w:val="16"/>
                <w:lang w:val="es-CO"/>
              </w:rPr>
            </w:pPr>
            <w:r w:rsidRPr="00105B98">
              <w:rPr>
                <w:i w:val="0"/>
                <w:iCs w:val="0"/>
                <w:color w:val="auto"/>
                <w:sz w:val="16"/>
                <w:szCs w:val="16"/>
                <w:lang w:val="en-US"/>
              </w:rPr>
              <w:t xml:space="preserve">Demaria &amp; Rigot (2021); TCFD, (2017); </w:t>
            </w:r>
            <w:proofErr w:type="spellStart"/>
            <w:r w:rsidRPr="00105B98">
              <w:rPr>
                <w:i w:val="0"/>
                <w:iCs w:val="0"/>
                <w:color w:val="auto"/>
                <w:sz w:val="16"/>
                <w:szCs w:val="16"/>
                <w:lang w:val="en-US"/>
              </w:rPr>
              <w:t>Entela</w:t>
            </w:r>
            <w:proofErr w:type="spellEnd"/>
            <w:r w:rsidRPr="00105B98">
              <w:rPr>
                <w:i w:val="0"/>
                <w:iCs w:val="0"/>
                <w:color w:val="auto"/>
                <w:sz w:val="16"/>
                <w:szCs w:val="16"/>
                <w:lang w:val="en-US"/>
              </w:rPr>
              <w:t xml:space="preserve"> (2020); </w:t>
            </w:r>
            <w:proofErr w:type="spellStart"/>
            <w:r w:rsidRPr="00105B98">
              <w:rPr>
                <w:i w:val="0"/>
                <w:iCs w:val="0"/>
                <w:color w:val="auto"/>
                <w:sz w:val="16"/>
                <w:szCs w:val="16"/>
                <w:lang w:val="en-US"/>
              </w:rPr>
              <w:t>Gasbarro</w:t>
            </w:r>
            <w:proofErr w:type="spellEnd"/>
            <w:r w:rsidRPr="00105B98">
              <w:rPr>
                <w:i w:val="0"/>
                <w:iCs w:val="0"/>
                <w:color w:val="auto"/>
                <w:sz w:val="16"/>
                <w:szCs w:val="16"/>
                <w:lang w:val="en-US"/>
              </w:rPr>
              <w:t xml:space="preserve">, </w:t>
            </w:r>
            <w:proofErr w:type="spellStart"/>
            <w:r w:rsidRPr="00105B98">
              <w:rPr>
                <w:i w:val="0"/>
                <w:iCs w:val="0"/>
                <w:color w:val="auto"/>
                <w:sz w:val="16"/>
                <w:szCs w:val="16"/>
                <w:lang w:val="en-US"/>
              </w:rPr>
              <w:t>Iraldo</w:t>
            </w:r>
            <w:proofErr w:type="spellEnd"/>
            <w:r w:rsidRPr="00105B98">
              <w:rPr>
                <w:i w:val="0"/>
                <w:iCs w:val="0"/>
                <w:color w:val="auto"/>
                <w:sz w:val="16"/>
                <w:szCs w:val="16"/>
                <w:lang w:val="en-US"/>
              </w:rPr>
              <w:t xml:space="preserve"> &amp; </w:t>
            </w:r>
            <w:proofErr w:type="spellStart"/>
            <w:r w:rsidRPr="00105B98">
              <w:rPr>
                <w:i w:val="0"/>
                <w:iCs w:val="0"/>
                <w:color w:val="auto"/>
                <w:sz w:val="16"/>
                <w:szCs w:val="16"/>
                <w:lang w:val="en-US"/>
              </w:rPr>
              <w:t>Daddi</w:t>
            </w:r>
            <w:proofErr w:type="spellEnd"/>
            <w:r w:rsidRPr="00105B98">
              <w:rPr>
                <w:i w:val="0"/>
                <w:iCs w:val="0"/>
                <w:color w:val="auto"/>
                <w:sz w:val="16"/>
                <w:szCs w:val="16"/>
                <w:lang w:val="en-US"/>
              </w:rPr>
              <w:t xml:space="preserve"> (2017); UNEP FI (2021); Boros (2020); </w:t>
            </w:r>
            <w:proofErr w:type="spellStart"/>
            <w:r w:rsidRPr="00105B98">
              <w:rPr>
                <w:i w:val="0"/>
                <w:iCs w:val="0"/>
                <w:color w:val="auto"/>
                <w:sz w:val="16"/>
                <w:szCs w:val="16"/>
                <w:lang w:val="en-US"/>
              </w:rPr>
              <w:t>Kölbel</w:t>
            </w:r>
            <w:proofErr w:type="spellEnd"/>
            <w:r w:rsidRPr="00105B98">
              <w:rPr>
                <w:i w:val="0"/>
                <w:iCs w:val="0"/>
                <w:color w:val="auto"/>
                <w:sz w:val="16"/>
                <w:szCs w:val="16"/>
                <w:lang w:val="en-US"/>
              </w:rPr>
              <w:t xml:space="preserve"> , </w:t>
            </w:r>
            <w:proofErr w:type="spellStart"/>
            <w:r w:rsidRPr="00105B98">
              <w:rPr>
                <w:i w:val="0"/>
                <w:iCs w:val="0"/>
                <w:color w:val="auto"/>
                <w:sz w:val="16"/>
                <w:szCs w:val="16"/>
                <w:lang w:val="en-US"/>
              </w:rPr>
              <w:t>Leippold</w:t>
            </w:r>
            <w:proofErr w:type="spellEnd"/>
            <w:r w:rsidRPr="00105B98">
              <w:rPr>
                <w:i w:val="0"/>
                <w:iCs w:val="0"/>
                <w:color w:val="auto"/>
                <w:sz w:val="16"/>
                <w:szCs w:val="16"/>
                <w:lang w:val="en-US"/>
              </w:rPr>
              <w:t xml:space="preserve"> , </w:t>
            </w:r>
            <w:proofErr w:type="spellStart"/>
            <w:r w:rsidRPr="00105B98">
              <w:rPr>
                <w:i w:val="0"/>
                <w:iCs w:val="0"/>
                <w:color w:val="auto"/>
                <w:sz w:val="16"/>
                <w:szCs w:val="16"/>
                <w:lang w:val="en-US"/>
              </w:rPr>
              <w:t>Rillaerts</w:t>
            </w:r>
            <w:proofErr w:type="spellEnd"/>
            <w:r w:rsidRPr="00105B98">
              <w:rPr>
                <w:i w:val="0"/>
                <w:iCs w:val="0"/>
                <w:color w:val="auto"/>
                <w:sz w:val="16"/>
                <w:szCs w:val="16"/>
                <w:lang w:val="en-US"/>
              </w:rPr>
              <w:t xml:space="preserve"> &amp; Wang (2021); Bank for International Settlements (2021); European Banking Authority (2021), European Systemic Risk Board (2021); Vermeulen et al. </w:t>
            </w:r>
            <w:r w:rsidRPr="000E226A">
              <w:rPr>
                <w:i w:val="0"/>
                <w:iCs w:val="0"/>
                <w:color w:val="auto"/>
                <w:sz w:val="16"/>
                <w:szCs w:val="16"/>
                <w:lang w:val="es-CO"/>
              </w:rPr>
              <w:t xml:space="preserve">(2018); </w:t>
            </w:r>
            <w:proofErr w:type="spellStart"/>
            <w:r w:rsidRPr="000E226A">
              <w:rPr>
                <w:i w:val="0"/>
                <w:iCs w:val="0"/>
                <w:color w:val="auto"/>
                <w:sz w:val="16"/>
                <w:szCs w:val="16"/>
                <w:lang w:val="es-CO"/>
              </w:rPr>
              <w:t>Monnin</w:t>
            </w:r>
            <w:proofErr w:type="spellEnd"/>
            <w:r w:rsidRPr="000E226A">
              <w:rPr>
                <w:i w:val="0"/>
                <w:iCs w:val="0"/>
                <w:color w:val="auto"/>
                <w:sz w:val="16"/>
                <w:szCs w:val="16"/>
                <w:lang w:val="es-CO"/>
              </w:rPr>
              <w:t xml:space="preserve"> (2019); S&amp;P Global (2021); Bertrand &amp; Sinclair-</w:t>
            </w:r>
            <w:proofErr w:type="spellStart"/>
            <w:r w:rsidRPr="000E226A">
              <w:rPr>
                <w:i w:val="0"/>
                <w:iCs w:val="0"/>
                <w:color w:val="auto"/>
                <w:sz w:val="16"/>
                <w:szCs w:val="16"/>
                <w:lang w:val="es-CO"/>
              </w:rPr>
              <w:t>Desgagné</w:t>
            </w:r>
            <w:proofErr w:type="spellEnd"/>
            <w:r w:rsidRPr="000E226A">
              <w:rPr>
                <w:i w:val="0"/>
                <w:iCs w:val="0"/>
                <w:color w:val="auto"/>
                <w:sz w:val="16"/>
                <w:szCs w:val="16"/>
                <w:lang w:val="es-CO"/>
              </w:rPr>
              <w:t xml:space="preserve"> (2012); </w:t>
            </w:r>
            <w:proofErr w:type="spellStart"/>
            <w:r w:rsidRPr="000E226A">
              <w:rPr>
                <w:i w:val="0"/>
                <w:iCs w:val="0"/>
                <w:color w:val="auto"/>
                <w:sz w:val="16"/>
                <w:szCs w:val="16"/>
                <w:lang w:val="es-CO"/>
              </w:rPr>
              <w:t>Onischka</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Liedtke</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Jordan</w:t>
            </w:r>
            <w:proofErr w:type="spellEnd"/>
            <w:r w:rsidRPr="000E226A">
              <w:rPr>
                <w:i w:val="0"/>
                <w:iCs w:val="0"/>
                <w:color w:val="auto"/>
                <w:sz w:val="16"/>
                <w:szCs w:val="16"/>
                <w:lang w:val="es-CO"/>
              </w:rPr>
              <w:t xml:space="preserve"> (2012); Bloch (2015); (</w:t>
            </w:r>
            <w:proofErr w:type="spellStart"/>
            <w:r w:rsidRPr="000E226A">
              <w:rPr>
                <w:i w:val="0"/>
                <w:iCs w:val="0"/>
                <w:color w:val="auto"/>
                <w:sz w:val="16"/>
                <w:szCs w:val="16"/>
                <w:lang w:val="es-CO"/>
              </w:rPr>
              <w:t>Semieniuk</w:t>
            </w:r>
            <w:proofErr w:type="spellEnd"/>
            <w:r w:rsidRPr="000E226A">
              <w:rPr>
                <w:i w:val="0"/>
                <w:iCs w:val="0"/>
                <w:color w:val="auto"/>
                <w:sz w:val="16"/>
                <w:szCs w:val="16"/>
                <w:lang w:val="es-CO"/>
              </w:rPr>
              <w:t xml:space="preserve"> el. al, 2020); </w:t>
            </w:r>
            <w:proofErr w:type="spellStart"/>
            <w:r w:rsidRPr="000E226A">
              <w:rPr>
                <w:i w:val="0"/>
                <w:iCs w:val="0"/>
                <w:color w:val="auto"/>
                <w:sz w:val="16"/>
                <w:szCs w:val="16"/>
                <w:lang w:val="es-CO"/>
              </w:rPr>
              <w:t>Oguntuase</w:t>
            </w:r>
            <w:proofErr w:type="spellEnd"/>
            <w:r w:rsidRPr="000E226A">
              <w:rPr>
                <w:i w:val="0"/>
                <w:iCs w:val="0"/>
                <w:color w:val="auto"/>
                <w:sz w:val="16"/>
                <w:szCs w:val="16"/>
                <w:lang w:val="es-CO"/>
              </w:rPr>
              <w:t xml:space="preserve"> (2020)</w:t>
            </w:r>
          </w:p>
        </w:tc>
      </w:tr>
      <w:tr w:rsidR="00C52ECA" w:rsidRPr="00BB6E11" w14:paraId="21F8D6B2"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6FB2B351" w14:textId="7163D00D" w:rsidR="00C52ECA" w:rsidRDefault="00C52ECA" w:rsidP="00C52ECA">
            <w:pPr>
              <w:pStyle w:val="Descripcin"/>
              <w:rPr>
                <w:i w:val="0"/>
                <w:iCs w:val="0"/>
                <w:color w:val="auto"/>
                <w:sz w:val="16"/>
                <w:szCs w:val="16"/>
                <w:lang w:val="es-CO"/>
              </w:rPr>
            </w:pPr>
            <w:proofErr w:type="spellStart"/>
            <w:r>
              <w:rPr>
                <w:i w:val="0"/>
                <w:iCs w:val="0"/>
                <w:color w:val="auto"/>
                <w:sz w:val="16"/>
                <w:szCs w:val="16"/>
                <w:lang w:val="es-CO"/>
              </w:rPr>
              <w:t>Rreg</w:t>
            </w:r>
            <w:proofErr w:type="spellEnd"/>
            <w:r>
              <w:rPr>
                <w:i w:val="0"/>
                <w:iCs w:val="0"/>
                <w:color w:val="auto"/>
                <w:sz w:val="16"/>
                <w:szCs w:val="16"/>
                <w:lang w:val="es-CO"/>
              </w:rPr>
              <w:t xml:space="preserve"> 3</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5962469" w14:textId="7CFCEC1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Regulatorio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5BFF9EE5" w14:textId="0DFA172F"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Litigios relacionados con el cambio climático</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787F8D5B" w14:textId="4E581E0C"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Riesgos legales por el incumplimiento de responsabilidades relacionadas con el cambio climático, lo cual incluye daños a personas o al medio ambiente</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505ED7EA" w14:textId="25858023"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Demandas procesales otorgadas por ley o reglamento</w:t>
            </w:r>
            <w:r w:rsidRPr="000E226A">
              <w:rPr>
                <w:i w:val="0"/>
                <w:iCs w:val="0"/>
                <w:color w:val="auto"/>
                <w:sz w:val="16"/>
                <w:szCs w:val="16"/>
                <w:lang w:val="es-CO"/>
              </w:rPr>
              <w:br/>
              <w:t>2. Reclamaciones contra empresas individuales por daños al medio ambiente, acciones de accionistas por no tomar en cuenta o divulgar los riesgos del cambio climático.</w:t>
            </w:r>
            <w:r w:rsidRPr="000E226A">
              <w:rPr>
                <w:i w:val="0"/>
                <w:iCs w:val="0"/>
                <w:color w:val="auto"/>
                <w:sz w:val="16"/>
                <w:szCs w:val="16"/>
                <w:lang w:val="es-CO"/>
              </w:rPr>
              <w:br/>
              <w:t>3. Aumento de costos y / o reducción de la demanda de productos y servicios como resultado de multas y juicio</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18E0F96" w14:textId="0D918706" w:rsidR="00C52ECA" w:rsidRPr="00D479E8" w:rsidRDefault="00C52ECA" w:rsidP="00C52ECA">
            <w:pPr>
              <w:pStyle w:val="Descripcin"/>
              <w:ind w:firstLine="0"/>
              <w:rPr>
                <w:i w:val="0"/>
                <w:iCs w:val="0"/>
                <w:color w:val="auto"/>
                <w:sz w:val="16"/>
                <w:szCs w:val="16"/>
                <w:lang w:val="en-US"/>
              </w:rPr>
            </w:pPr>
            <w:r w:rsidRPr="00D479E8">
              <w:rPr>
                <w:i w:val="0"/>
                <w:iCs w:val="0"/>
                <w:color w:val="auto"/>
                <w:sz w:val="16"/>
                <w:szCs w:val="16"/>
                <w:lang w:val="en-US"/>
              </w:rPr>
              <w:t>Kelly &amp; Reynolds (2016); Bertrand &amp; Sinclair-Desgagné (2012); S&amp;P Global (2021); Bank for International Settlements (2021); European Banking Authority (2021)</w:t>
            </w:r>
          </w:p>
        </w:tc>
      </w:tr>
      <w:tr w:rsidR="00C52ECA" w:rsidRPr="000E226A" w14:paraId="45F4CC83"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4DA1730C" w14:textId="7F86339A" w:rsidR="00C52ECA" w:rsidRDefault="00C52ECA" w:rsidP="00C52ECA">
            <w:pPr>
              <w:pStyle w:val="Descripcin"/>
              <w:rPr>
                <w:i w:val="0"/>
                <w:iCs w:val="0"/>
                <w:color w:val="auto"/>
                <w:sz w:val="16"/>
                <w:szCs w:val="16"/>
                <w:lang w:val="es-CO"/>
              </w:rPr>
            </w:pPr>
            <w:proofErr w:type="spellStart"/>
            <w:r>
              <w:rPr>
                <w:i w:val="0"/>
                <w:iCs w:val="0"/>
                <w:color w:val="auto"/>
                <w:sz w:val="16"/>
                <w:szCs w:val="16"/>
                <w:lang w:val="es-CO"/>
              </w:rPr>
              <w:lastRenderedPageBreak/>
              <w:t>Rreg</w:t>
            </w:r>
            <w:proofErr w:type="spellEnd"/>
            <w:r>
              <w:rPr>
                <w:i w:val="0"/>
                <w:iCs w:val="0"/>
                <w:color w:val="auto"/>
                <w:sz w:val="16"/>
                <w:szCs w:val="16"/>
                <w:lang w:val="es-CO"/>
              </w:rPr>
              <w:t xml:space="preserve"> 4</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5C77909" w14:textId="1AF328C2"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Regulatorio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07B3AC5" w14:textId="7D6F4F5F" w:rsidR="00C52ECA" w:rsidRPr="000E226A" w:rsidRDefault="00C52ECA" w:rsidP="00C52ECA">
            <w:pPr>
              <w:pStyle w:val="Descripcin"/>
              <w:ind w:firstLine="0"/>
              <w:rPr>
                <w:i w:val="0"/>
                <w:iCs w:val="0"/>
                <w:color w:val="auto"/>
                <w:sz w:val="16"/>
                <w:szCs w:val="16"/>
                <w:lang w:val="es-CO"/>
              </w:rPr>
            </w:pPr>
            <w:r>
              <w:rPr>
                <w:i w:val="0"/>
                <w:iCs w:val="0"/>
                <w:color w:val="auto"/>
                <w:sz w:val="16"/>
                <w:szCs w:val="16"/>
                <w:lang w:val="es-CO"/>
              </w:rPr>
              <w:t>Obligación de reportar emisiones</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28A4BA4" w14:textId="3244F8DB" w:rsidR="00C52ECA" w:rsidRPr="000E226A" w:rsidRDefault="00C52ECA" w:rsidP="00C52ECA">
            <w:pPr>
              <w:pStyle w:val="Descripcin"/>
              <w:ind w:firstLine="0"/>
              <w:rPr>
                <w:i w:val="0"/>
                <w:iCs w:val="0"/>
                <w:color w:val="auto"/>
                <w:sz w:val="16"/>
                <w:szCs w:val="16"/>
                <w:lang w:val="es-CO"/>
              </w:rPr>
            </w:pPr>
            <w:r>
              <w:rPr>
                <w:i w:val="0"/>
                <w:iCs w:val="0"/>
                <w:color w:val="auto"/>
                <w:sz w:val="16"/>
                <w:szCs w:val="16"/>
                <w:lang w:val="es-CO"/>
              </w:rPr>
              <w:t>La obligación jurídica que tienen las compañías de declarar la cantidad de gases de efecto invernadero que producen, con el propósito de demostrar el cumplimiento de las regulaciones, o por el caso contrario, excesos en la emisión.</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B0BC174" w14:textId="77777777" w:rsidR="00C52ECA" w:rsidRPr="005C6D61" w:rsidRDefault="00C52ECA" w:rsidP="00C52ECA">
            <w:pPr>
              <w:pStyle w:val="Descripcin"/>
              <w:ind w:firstLine="0"/>
              <w:rPr>
                <w:i w:val="0"/>
                <w:iCs w:val="0"/>
                <w:color w:val="auto"/>
                <w:sz w:val="16"/>
                <w:szCs w:val="16"/>
                <w:lang w:val="es-CO"/>
              </w:rPr>
            </w:pPr>
            <w:r>
              <w:rPr>
                <w:i w:val="0"/>
                <w:iCs w:val="0"/>
                <w:color w:val="auto"/>
                <w:sz w:val="16"/>
                <w:szCs w:val="16"/>
                <w:lang w:val="es-CO"/>
              </w:rPr>
              <w:t xml:space="preserve">1. </w:t>
            </w:r>
            <w:r w:rsidRPr="005C6D61">
              <w:rPr>
                <w:i w:val="0"/>
                <w:iCs w:val="0"/>
                <w:color w:val="auto"/>
                <w:sz w:val="16"/>
                <w:szCs w:val="16"/>
                <w:lang w:val="es-CO"/>
              </w:rPr>
              <w:t>Incremento en el riesgo crediticio con bancos y entidades que negocian con empresas que generan grandes emisiones</w:t>
            </w:r>
          </w:p>
          <w:p w14:paraId="6E84B5A1" w14:textId="2D093517" w:rsidR="00C52ECA" w:rsidRPr="000E226A" w:rsidRDefault="00C52ECA" w:rsidP="00C52ECA">
            <w:pPr>
              <w:pStyle w:val="Descripcin"/>
              <w:ind w:firstLine="0"/>
              <w:rPr>
                <w:i w:val="0"/>
                <w:iCs w:val="0"/>
                <w:color w:val="auto"/>
                <w:sz w:val="16"/>
                <w:szCs w:val="16"/>
                <w:lang w:val="es-CO"/>
              </w:rPr>
            </w:pPr>
            <w:r w:rsidRPr="005C6D61">
              <w:rPr>
                <w:i w:val="0"/>
                <w:iCs w:val="0"/>
                <w:color w:val="auto"/>
                <w:sz w:val="16"/>
                <w:szCs w:val="16"/>
                <w:lang w:val="es-CO"/>
              </w:rPr>
              <w:t>2. Impacto en la calidad de crédito y calificación crediticia</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7438E6A2" w14:textId="554684CD" w:rsidR="00C52ECA" w:rsidRPr="000E226A" w:rsidRDefault="00C52ECA" w:rsidP="00C52ECA">
            <w:pPr>
              <w:pStyle w:val="Descripcin"/>
              <w:ind w:firstLine="0"/>
              <w:rPr>
                <w:i w:val="0"/>
                <w:iCs w:val="0"/>
                <w:color w:val="auto"/>
                <w:sz w:val="16"/>
                <w:szCs w:val="16"/>
                <w:lang w:val="es-CO"/>
              </w:rPr>
            </w:pPr>
            <w:proofErr w:type="spellStart"/>
            <w:r w:rsidRPr="005C6D61">
              <w:rPr>
                <w:i w:val="0"/>
                <w:iCs w:val="0"/>
                <w:color w:val="auto"/>
                <w:sz w:val="16"/>
                <w:szCs w:val="16"/>
                <w:lang w:val="es-CO"/>
              </w:rPr>
              <w:t>Demaria</w:t>
            </w:r>
            <w:proofErr w:type="spellEnd"/>
            <w:r w:rsidRPr="005C6D61">
              <w:rPr>
                <w:i w:val="0"/>
                <w:iCs w:val="0"/>
                <w:color w:val="auto"/>
                <w:sz w:val="16"/>
                <w:szCs w:val="16"/>
                <w:lang w:val="es-CO"/>
              </w:rPr>
              <w:t xml:space="preserve"> &amp; </w:t>
            </w:r>
            <w:proofErr w:type="spellStart"/>
            <w:r w:rsidRPr="005C6D61">
              <w:rPr>
                <w:i w:val="0"/>
                <w:iCs w:val="0"/>
                <w:color w:val="auto"/>
                <w:sz w:val="16"/>
                <w:szCs w:val="16"/>
                <w:lang w:val="es-CO"/>
              </w:rPr>
              <w:t>Rigot</w:t>
            </w:r>
            <w:proofErr w:type="spellEnd"/>
            <w:r w:rsidRPr="005C6D61">
              <w:rPr>
                <w:i w:val="0"/>
                <w:iCs w:val="0"/>
                <w:color w:val="auto"/>
                <w:sz w:val="16"/>
                <w:szCs w:val="16"/>
                <w:lang w:val="es-CO"/>
              </w:rPr>
              <w:t xml:space="preserve"> (2021); TCFD, (2017); </w:t>
            </w:r>
            <w:proofErr w:type="spellStart"/>
            <w:r w:rsidRPr="005C6D61">
              <w:rPr>
                <w:i w:val="0"/>
                <w:iCs w:val="0"/>
                <w:color w:val="auto"/>
                <w:sz w:val="16"/>
                <w:szCs w:val="16"/>
                <w:lang w:val="es-CO"/>
              </w:rPr>
              <w:t>Oluwaseun</w:t>
            </w:r>
            <w:proofErr w:type="spellEnd"/>
            <w:r w:rsidRPr="005C6D61">
              <w:rPr>
                <w:i w:val="0"/>
                <w:iCs w:val="0"/>
                <w:color w:val="auto"/>
                <w:sz w:val="16"/>
                <w:szCs w:val="16"/>
                <w:lang w:val="es-CO"/>
              </w:rPr>
              <w:t xml:space="preserve"> (2020); </w:t>
            </w:r>
            <w:proofErr w:type="spellStart"/>
            <w:r w:rsidRPr="005C6D61">
              <w:rPr>
                <w:i w:val="0"/>
                <w:iCs w:val="0"/>
                <w:color w:val="auto"/>
                <w:sz w:val="16"/>
                <w:szCs w:val="16"/>
                <w:lang w:val="es-CO"/>
              </w:rPr>
              <w:t>Sakhel</w:t>
            </w:r>
            <w:proofErr w:type="spellEnd"/>
            <w:r w:rsidRPr="005C6D61">
              <w:rPr>
                <w:i w:val="0"/>
                <w:iCs w:val="0"/>
                <w:color w:val="auto"/>
                <w:sz w:val="16"/>
                <w:szCs w:val="16"/>
                <w:lang w:val="es-CO"/>
              </w:rPr>
              <w:t xml:space="preserve"> (2017); </w:t>
            </w:r>
            <w:proofErr w:type="spellStart"/>
            <w:r w:rsidRPr="005C6D61">
              <w:rPr>
                <w:i w:val="0"/>
                <w:iCs w:val="0"/>
                <w:color w:val="auto"/>
                <w:sz w:val="16"/>
                <w:szCs w:val="16"/>
                <w:lang w:val="es-CO"/>
              </w:rPr>
              <w:t>Buttini</w:t>
            </w:r>
            <w:proofErr w:type="spellEnd"/>
            <w:r w:rsidRPr="005C6D61">
              <w:rPr>
                <w:i w:val="0"/>
                <w:iCs w:val="0"/>
                <w:color w:val="auto"/>
                <w:sz w:val="16"/>
                <w:szCs w:val="16"/>
                <w:lang w:val="es-CO"/>
              </w:rPr>
              <w:t xml:space="preserve"> et al. (2016)</w:t>
            </w:r>
          </w:p>
        </w:tc>
      </w:tr>
      <w:tr w:rsidR="00C52ECA" w:rsidRPr="000E226A" w14:paraId="79C330CA"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6270891E" w14:textId="1A75AD4C" w:rsidR="00C52ECA" w:rsidRDefault="00C52ECA" w:rsidP="00C52ECA">
            <w:pPr>
              <w:pStyle w:val="Descripcin"/>
              <w:rPr>
                <w:i w:val="0"/>
                <w:iCs w:val="0"/>
                <w:color w:val="auto"/>
                <w:sz w:val="16"/>
                <w:szCs w:val="16"/>
                <w:lang w:val="es-CO"/>
              </w:rPr>
            </w:pPr>
            <w:r>
              <w:rPr>
                <w:i w:val="0"/>
                <w:iCs w:val="0"/>
                <w:color w:val="auto"/>
                <w:sz w:val="16"/>
                <w:szCs w:val="16"/>
                <w:lang w:val="es-CO"/>
              </w:rPr>
              <w:t>RT1</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2493784" w14:textId="5593F4FF"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Tecnológico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DE380D9" w14:textId="282AB11B" w:rsidR="00C52EC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Cambio en patrones de producción de energía menos intensivas en carbono</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BD2B9A8" w14:textId="08D923D1" w:rsidR="00C52EC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Uso de combustibles con menor factores de emisiones de GEI para la generación de energía térmica</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E293E0C" w14:textId="0D3FB596" w:rsidR="00C52EC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1. Reducción de la demanda de productos y servicios </w:t>
            </w:r>
            <w:r w:rsidRPr="000E226A">
              <w:rPr>
                <w:i w:val="0"/>
                <w:iCs w:val="0"/>
                <w:color w:val="auto"/>
                <w:sz w:val="16"/>
                <w:szCs w:val="16"/>
                <w:lang w:val="es-CO"/>
              </w:rPr>
              <w:br/>
              <w:t>2. Costos para adoptar / implementar nuevas prácticas y procesos</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F3E07EF" w14:textId="6025F8DB" w:rsidR="00C52ECA" w:rsidRPr="005C6D61" w:rsidRDefault="00C52ECA" w:rsidP="00C52ECA">
            <w:pPr>
              <w:pStyle w:val="Descripcin"/>
              <w:ind w:firstLine="0"/>
              <w:rPr>
                <w:i w:val="0"/>
                <w:iCs w:val="0"/>
                <w:color w:val="auto"/>
                <w:sz w:val="16"/>
                <w:szCs w:val="16"/>
                <w:lang w:val="es-CO"/>
              </w:rPr>
            </w:pP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 TCFD, (2017)</w:t>
            </w:r>
          </w:p>
        </w:tc>
      </w:tr>
      <w:tr w:rsidR="00C52ECA" w:rsidRPr="000E226A" w14:paraId="6C87A576"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7B6DF29C" w14:textId="745A2BA5" w:rsidR="00C52ECA" w:rsidRPr="000E226A" w:rsidRDefault="00C52ECA" w:rsidP="00C52ECA">
            <w:pPr>
              <w:pStyle w:val="Descripcin"/>
              <w:rPr>
                <w:i w:val="0"/>
                <w:iCs w:val="0"/>
                <w:color w:val="auto"/>
                <w:sz w:val="16"/>
                <w:szCs w:val="16"/>
                <w:lang w:val="es-CO"/>
              </w:rPr>
            </w:pPr>
            <w:r>
              <w:rPr>
                <w:i w:val="0"/>
                <w:iCs w:val="0"/>
                <w:color w:val="auto"/>
                <w:sz w:val="16"/>
                <w:szCs w:val="16"/>
                <w:lang w:val="es-CO"/>
              </w:rPr>
              <w:t>RT2</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4014CD3" w14:textId="5EC2D024"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Tecnológico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00ED01C3" w14:textId="72B7E611"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Avance tecnológico de las energías renovables y la eficiencia energética</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F6957C7" w14:textId="58F04A20"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Nuevos desarrollos tecnológicos que permiten obtener mejores resultados en los procesos </w:t>
            </w:r>
            <w:r w:rsidR="004D533A" w:rsidRPr="000E226A">
              <w:rPr>
                <w:i w:val="0"/>
                <w:iCs w:val="0"/>
                <w:color w:val="auto"/>
                <w:sz w:val="16"/>
                <w:szCs w:val="16"/>
                <w:lang w:val="es-CO"/>
              </w:rPr>
              <w:t>energéticos</w:t>
            </w:r>
            <w:r w:rsidRPr="000E226A">
              <w:rPr>
                <w:i w:val="0"/>
                <w:iCs w:val="0"/>
                <w:color w:val="auto"/>
                <w:sz w:val="16"/>
                <w:szCs w:val="16"/>
                <w:lang w:val="es-CO"/>
              </w:rPr>
              <w:t xml:space="preserve"> de la compañía</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7594124" w14:textId="2F3C52AD"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Costos de transición hacia energías renovables</w:t>
            </w:r>
            <w:r w:rsidRPr="000E226A">
              <w:rPr>
                <w:i w:val="0"/>
                <w:iCs w:val="0"/>
                <w:color w:val="auto"/>
                <w:sz w:val="16"/>
                <w:szCs w:val="16"/>
                <w:lang w:val="es-CO"/>
              </w:rPr>
              <w:br/>
              <w:t>2. Incremento de los costos operativos</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624CADF" w14:textId="383C8CB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Entela (2020); UNEP FI (2021); S&amp;P Global (2021)</w:t>
            </w:r>
          </w:p>
        </w:tc>
      </w:tr>
      <w:tr w:rsidR="00C52ECA" w:rsidRPr="000E226A" w14:paraId="186CE551"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25526EDE" w14:textId="037987A2" w:rsidR="00C52ECA" w:rsidRPr="000E226A" w:rsidRDefault="00C52ECA" w:rsidP="00C52ECA">
            <w:pPr>
              <w:pStyle w:val="Descripcin"/>
              <w:rPr>
                <w:i w:val="0"/>
                <w:iCs w:val="0"/>
                <w:color w:val="auto"/>
                <w:sz w:val="16"/>
                <w:szCs w:val="16"/>
                <w:lang w:val="es-CO"/>
              </w:rPr>
            </w:pPr>
            <w:r>
              <w:rPr>
                <w:i w:val="0"/>
                <w:iCs w:val="0"/>
                <w:color w:val="auto"/>
                <w:sz w:val="16"/>
                <w:szCs w:val="16"/>
                <w:lang w:val="es-CO"/>
              </w:rPr>
              <w:t>RT3</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673F996" w14:textId="7C71B362"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Tecnológico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0A3ADF83" w14:textId="30FBA323"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Cambio tecnológico (desarrollo de tecnología relacionada con el cambio climático)</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0F9D6D46" w14:textId="40AE4092"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Desarrollo de nuevas tecnologías con un impacto menos dañino sobre el clima o el medio ambiente, volviéndola obsoleta o poco competitiva (activos varados)</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575D140" w14:textId="45632D0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Desestabilizando financieramente a las empresas</w:t>
            </w:r>
            <w:r w:rsidRPr="000E226A">
              <w:rPr>
                <w:i w:val="0"/>
                <w:iCs w:val="0"/>
                <w:color w:val="auto"/>
                <w:sz w:val="16"/>
                <w:szCs w:val="16"/>
                <w:lang w:val="es-CO"/>
              </w:rPr>
              <w:br/>
              <w:t>2. Mayores costos operativos</w:t>
            </w:r>
            <w:r w:rsidRPr="000E226A">
              <w:rPr>
                <w:i w:val="0"/>
                <w:iCs w:val="0"/>
                <w:color w:val="auto"/>
                <w:sz w:val="16"/>
                <w:szCs w:val="16"/>
                <w:lang w:val="es-CO"/>
              </w:rPr>
              <w:br/>
              <w:t xml:space="preserve">3. Menores márgenes de </w:t>
            </w:r>
            <w:r w:rsidR="004D533A" w:rsidRPr="000E226A">
              <w:rPr>
                <w:i w:val="0"/>
                <w:iCs w:val="0"/>
                <w:color w:val="auto"/>
                <w:sz w:val="16"/>
                <w:szCs w:val="16"/>
                <w:lang w:val="es-CO"/>
              </w:rPr>
              <w:t>ganancias</w:t>
            </w:r>
            <w:r w:rsidRPr="000E226A">
              <w:rPr>
                <w:i w:val="0"/>
                <w:iCs w:val="0"/>
                <w:color w:val="auto"/>
                <w:sz w:val="16"/>
                <w:szCs w:val="16"/>
                <w:lang w:val="es-CO"/>
              </w:rPr>
              <w:br/>
              <w:t>4. Mayor cantidad de activos varados</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3E94E48" w14:textId="495C1F3C"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Breitenstein et al (2020), Boros (2020); </w:t>
            </w:r>
            <w:proofErr w:type="spellStart"/>
            <w:r w:rsidRPr="000E226A">
              <w:rPr>
                <w:i w:val="0"/>
                <w:iCs w:val="0"/>
                <w:color w:val="auto"/>
                <w:sz w:val="16"/>
                <w:szCs w:val="16"/>
                <w:lang w:val="es-CO"/>
              </w:rPr>
              <w:t>European</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Banking</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Authority</w:t>
            </w:r>
            <w:proofErr w:type="spellEnd"/>
            <w:r w:rsidRPr="000E226A">
              <w:rPr>
                <w:i w:val="0"/>
                <w:iCs w:val="0"/>
                <w:color w:val="auto"/>
                <w:sz w:val="16"/>
                <w:szCs w:val="16"/>
                <w:lang w:val="es-CO"/>
              </w:rPr>
              <w:t xml:space="preserve"> (2021); (</w:t>
            </w:r>
            <w:proofErr w:type="spellStart"/>
            <w:r w:rsidRPr="000E226A">
              <w:rPr>
                <w:i w:val="0"/>
                <w:iCs w:val="0"/>
                <w:color w:val="auto"/>
                <w:sz w:val="16"/>
                <w:szCs w:val="16"/>
                <w:lang w:val="es-CO"/>
              </w:rPr>
              <w:t>Semieniuk</w:t>
            </w:r>
            <w:proofErr w:type="spellEnd"/>
            <w:r w:rsidRPr="000E226A">
              <w:rPr>
                <w:i w:val="0"/>
                <w:iCs w:val="0"/>
                <w:color w:val="auto"/>
                <w:sz w:val="16"/>
                <w:szCs w:val="16"/>
                <w:lang w:val="es-CO"/>
              </w:rPr>
              <w:t xml:space="preserve"> el. al, 2020); Vermeulen et al. (2018); </w:t>
            </w:r>
            <w:proofErr w:type="spellStart"/>
            <w:r w:rsidRPr="000E226A">
              <w:rPr>
                <w:i w:val="0"/>
                <w:iCs w:val="0"/>
                <w:color w:val="auto"/>
                <w:sz w:val="16"/>
                <w:szCs w:val="16"/>
                <w:lang w:val="es-CO"/>
              </w:rPr>
              <w:t>Ahairwe</w:t>
            </w:r>
            <w:proofErr w:type="spellEnd"/>
            <w:r w:rsidRPr="000E226A">
              <w:rPr>
                <w:i w:val="0"/>
                <w:iCs w:val="0"/>
                <w:color w:val="auto"/>
                <w:sz w:val="16"/>
                <w:szCs w:val="16"/>
                <w:lang w:val="es-CO"/>
              </w:rPr>
              <w:t xml:space="preserve">, San </w:t>
            </w:r>
            <w:proofErr w:type="spellStart"/>
            <w:r w:rsidRPr="000E226A">
              <w:rPr>
                <w:i w:val="0"/>
                <w:iCs w:val="0"/>
                <w:color w:val="auto"/>
                <w:sz w:val="16"/>
                <w:szCs w:val="16"/>
                <w:lang w:val="es-CO"/>
              </w:rPr>
              <w:t>Bilal</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Duranovic</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Monasterolo</w:t>
            </w:r>
            <w:proofErr w:type="spellEnd"/>
            <w:r w:rsidRPr="000E226A">
              <w:rPr>
                <w:i w:val="0"/>
                <w:iCs w:val="0"/>
                <w:color w:val="auto"/>
                <w:sz w:val="16"/>
                <w:szCs w:val="16"/>
                <w:lang w:val="es-CO"/>
              </w:rPr>
              <w:t xml:space="preserve"> (2022)</w:t>
            </w:r>
          </w:p>
        </w:tc>
      </w:tr>
      <w:tr w:rsidR="00C52ECA" w:rsidRPr="000E226A" w14:paraId="1D82013A"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775535F1" w14:textId="168B15D1" w:rsidR="00C52ECA" w:rsidRPr="000E226A" w:rsidRDefault="00C52ECA" w:rsidP="00C52ECA">
            <w:pPr>
              <w:pStyle w:val="Descripcin"/>
              <w:rPr>
                <w:i w:val="0"/>
                <w:iCs w:val="0"/>
                <w:color w:val="auto"/>
                <w:sz w:val="16"/>
                <w:szCs w:val="16"/>
                <w:lang w:val="es-CO"/>
              </w:rPr>
            </w:pPr>
            <w:r>
              <w:rPr>
                <w:i w:val="0"/>
                <w:iCs w:val="0"/>
                <w:color w:val="auto"/>
                <w:sz w:val="16"/>
                <w:szCs w:val="16"/>
                <w:lang w:val="es-CO"/>
              </w:rPr>
              <w:t>RT4</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B0359CF" w14:textId="6F59AA4F"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Tecnológico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A992C65" w14:textId="5DE7906F"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Inversiones fallidas en nuevas tecnologías para reducir las emisiones</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1490280" w14:textId="179CD65B"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Inversiones en productos, procesos o servicios que tengan el propósito de reducir la huella de carbono y mejorar las condiciones ambientales, pero que resulten no estar a la altura de las expectativas</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8F199E1" w14:textId="76D8275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1. Gastos de investigación y desarrollo en tecnologías nuevas y alternativas </w:t>
            </w:r>
            <w:r w:rsidRPr="000E226A">
              <w:rPr>
                <w:i w:val="0"/>
                <w:iCs w:val="0"/>
                <w:color w:val="auto"/>
                <w:sz w:val="16"/>
                <w:szCs w:val="16"/>
                <w:lang w:val="es-CO"/>
              </w:rPr>
              <w:br/>
              <w:t>2. Impacto de las carteras de activos</w:t>
            </w:r>
            <w:r w:rsidRPr="000E226A">
              <w:rPr>
                <w:i w:val="0"/>
                <w:iCs w:val="0"/>
                <w:color w:val="auto"/>
                <w:sz w:val="16"/>
                <w:szCs w:val="16"/>
                <w:lang w:val="es-CO"/>
              </w:rPr>
              <w:br/>
              <w:t>3. Reducción / interrupción de la capacidad de producción</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7A91B1D" w14:textId="5D6A1CFB" w:rsidR="00C52ECA" w:rsidRPr="000E226A" w:rsidRDefault="00C52ECA" w:rsidP="00C52ECA">
            <w:pPr>
              <w:pStyle w:val="Descripcin"/>
              <w:ind w:firstLine="0"/>
              <w:rPr>
                <w:i w:val="0"/>
                <w:iCs w:val="0"/>
                <w:color w:val="auto"/>
                <w:sz w:val="16"/>
                <w:szCs w:val="16"/>
                <w:lang w:val="es-CO"/>
              </w:rPr>
            </w:pP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 TCFD, (2017); </w:t>
            </w:r>
            <w:proofErr w:type="spellStart"/>
            <w:r w:rsidRPr="000E226A">
              <w:rPr>
                <w:i w:val="0"/>
                <w:iCs w:val="0"/>
                <w:color w:val="auto"/>
                <w:sz w:val="16"/>
                <w:szCs w:val="16"/>
                <w:lang w:val="es-CO"/>
              </w:rPr>
              <w:t>Campiglio</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Monnin</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von</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Jagow</w:t>
            </w:r>
            <w:proofErr w:type="spellEnd"/>
            <w:r w:rsidRPr="000E226A">
              <w:rPr>
                <w:i w:val="0"/>
                <w:iCs w:val="0"/>
                <w:color w:val="auto"/>
                <w:sz w:val="16"/>
                <w:szCs w:val="16"/>
                <w:lang w:val="es-CO"/>
              </w:rPr>
              <w:t xml:space="preserve"> (2019)</w:t>
            </w:r>
          </w:p>
        </w:tc>
      </w:tr>
      <w:tr w:rsidR="00C52ECA" w:rsidRPr="000E226A" w14:paraId="0410C5B1"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4FBD37E8" w14:textId="715311E0" w:rsidR="00C52ECA" w:rsidRPr="000E226A" w:rsidRDefault="00C52ECA" w:rsidP="00C52ECA">
            <w:pPr>
              <w:pStyle w:val="Descripcin"/>
              <w:rPr>
                <w:i w:val="0"/>
                <w:iCs w:val="0"/>
                <w:color w:val="auto"/>
                <w:sz w:val="16"/>
                <w:szCs w:val="16"/>
                <w:lang w:val="es-CO"/>
              </w:rPr>
            </w:pPr>
            <w:r>
              <w:rPr>
                <w:i w:val="0"/>
                <w:iCs w:val="0"/>
                <w:color w:val="auto"/>
                <w:sz w:val="16"/>
                <w:szCs w:val="16"/>
                <w:lang w:val="es-CO"/>
              </w:rPr>
              <w:t>RM1</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2916AB8E" w14:textId="4201F5F4"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Mercado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65C02C1E" w14:textId="604574FE"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Cambio en las necesidades de los clientes y demanda de productos y servicios</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8696A52" w14:textId="63A62EEE"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Cambios en las necesidades y preferencias de los clientes generados por efectos del cambio climático</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1F208317" w14:textId="7963478F"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1. Cambios en la demanda por parte de los clientes </w:t>
            </w:r>
            <w:r w:rsidRPr="000E226A">
              <w:rPr>
                <w:i w:val="0"/>
                <w:iCs w:val="0"/>
                <w:color w:val="auto"/>
                <w:sz w:val="16"/>
                <w:szCs w:val="16"/>
                <w:lang w:val="es-CO"/>
              </w:rPr>
              <w:br/>
              <w:t>2. Cambios en la demanda de productos provenientes de sectores sustitutos y complementarios</w:t>
            </w:r>
            <w:r w:rsidRPr="000E226A">
              <w:rPr>
                <w:i w:val="0"/>
                <w:iCs w:val="0"/>
                <w:color w:val="auto"/>
                <w:sz w:val="16"/>
                <w:szCs w:val="16"/>
                <w:lang w:val="es-CO"/>
              </w:rPr>
              <w:br/>
              <w:t>3. Desinversiones en empresas intensivas en combustibles fósiles y carbono</w:t>
            </w:r>
            <w:r w:rsidRPr="000E226A">
              <w:rPr>
                <w:i w:val="0"/>
                <w:iCs w:val="0"/>
                <w:color w:val="auto"/>
                <w:sz w:val="16"/>
                <w:szCs w:val="16"/>
                <w:lang w:val="es-CO"/>
              </w:rPr>
              <w:br/>
              <w:t>4. Cambios de precios como a restricciones de cantidad</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D51BEC8" w14:textId="70BD36C0" w:rsidR="00C52ECA" w:rsidRPr="000E226A" w:rsidRDefault="00C52ECA" w:rsidP="00C52ECA">
            <w:pPr>
              <w:pStyle w:val="Descripcin"/>
              <w:ind w:firstLine="0"/>
              <w:rPr>
                <w:i w:val="0"/>
                <w:iCs w:val="0"/>
                <w:color w:val="auto"/>
                <w:sz w:val="16"/>
                <w:szCs w:val="16"/>
                <w:lang w:val="es-CO"/>
              </w:rPr>
            </w:pPr>
            <w:proofErr w:type="spellStart"/>
            <w:r w:rsidRPr="000E226A">
              <w:rPr>
                <w:i w:val="0"/>
                <w:iCs w:val="0"/>
                <w:color w:val="auto"/>
                <w:sz w:val="16"/>
                <w:szCs w:val="16"/>
                <w:lang w:val="es-CO"/>
              </w:rPr>
              <w:t>Gasbarro</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Iraldo</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Daddi</w:t>
            </w:r>
            <w:proofErr w:type="spellEnd"/>
            <w:r w:rsidRPr="000E226A">
              <w:rPr>
                <w:i w:val="0"/>
                <w:iCs w:val="0"/>
                <w:color w:val="auto"/>
                <w:sz w:val="16"/>
                <w:szCs w:val="16"/>
                <w:lang w:val="es-CO"/>
              </w:rPr>
              <w:t xml:space="preserve"> (2017); </w:t>
            </w:r>
            <w:proofErr w:type="spellStart"/>
            <w:r w:rsidRPr="000E226A">
              <w:rPr>
                <w:i w:val="0"/>
                <w:iCs w:val="0"/>
                <w:color w:val="auto"/>
                <w:sz w:val="16"/>
                <w:szCs w:val="16"/>
                <w:lang w:val="es-CO"/>
              </w:rPr>
              <w:t>Sakhel</w:t>
            </w:r>
            <w:proofErr w:type="spellEnd"/>
            <w:r w:rsidRPr="000E226A">
              <w:rPr>
                <w:i w:val="0"/>
                <w:iCs w:val="0"/>
                <w:color w:val="auto"/>
                <w:sz w:val="16"/>
                <w:szCs w:val="16"/>
                <w:lang w:val="es-CO"/>
              </w:rPr>
              <w:t xml:space="preserve"> (2017); </w:t>
            </w:r>
            <w:proofErr w:type="spellStart"/>
            <w:r w:rsidRPr="000E226A">
              <w:rPr>
                <w:i w:val="0"/>
                <w:iCs w:val="0"/>
                <w:color w:val="auto"/>
                <w:sz w:val="16"/>
                <w:szCs w:val="16"/>
                <w:lang w:val="es-CO"/>
              </w:rPr>
              <w:t>Surminski</w:t>
            </w:r>
            <w:proofErr w:type="spellEnd"/>
            <w:r w:rsidRPr="000E226A">
              <w:rPr>
                <w:i w:val="0"/>
                <w:iCs w:val="0"/>
                <w:color w:val="auto"/>
                <w:sz w:val="16"/>
                <w:szCs w:val="16"/>
                <w:lang w:val="es-CO"/>
              </w:rPr>
              <w:t xml:space="preserve"> et al. (2018); </w:t>
            </w:r>
            <w:proofErr w:type="spellStart"/>
            <w:r w:rsidRPr="000E226A">
              <w:rPr>
                <w:i w:val="0"/>
                <w:iCs w:val="0"/>
                <w:color w:val="auto"/>
                <w:sz w:val="16"/>
                <w:szCs w:val="16"/>
                <w:lang w:val="es-CO"/>
              </w:rPr>
              <w:t>Buttini</w:t>
            </w:r>
            <w:proofErr w:type="spellEnd"/>
            <w:r w:rsidRPr="000E226A">
              <w:rPr>
                <w:i w:val="0"/>
                <w:iCs w:val="0"/>
                <w:color w:val="auto"/>
                <w:sz w:val="16"/>
                <w:szCs w:val="16"/>
                <w:lang w:val="es-CO"/>
              </w:rPr>
              <w:t xml:space="preserve"> et al. (2016); S&amp;P Global (2021); </w:t>
            </w:r>
            <w:proofErr w:type="spellStart"/>
            <w:r w:rsidRPr="000E226A">
              <w:rPr>
                <w:i w:val="0"/>
                <w:iCs w:val="0"/>
                <w:color w:val="auto"/>
                <w:sz w:val="16"/>
                <w:szCs w:val="16"/>
                <w:lang w:val="es-CO"/>
              </w:rPr>
              <w:t>European</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Banking</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Authority</w:t>
            </w:r>
            <w:proofErr w:type="spellEnd"/>
            <w:r w:rsidRPr="000E226A">
              <w:rPr>
                <w:i w:val="0"/>
                <w:iCs w:val="0"/>
                <w:color w:val="auto"/>
                <w:sz w:val="16"/>
                <w:szCs w:val="16"/>
                <w:lang w:val="es-CO"/>
              </w:rPr>
              <w:t xml:space="preserve"> (2021), Grupo Nutresa (2021); (</w:t>
            </w:r>
            <w:proofErr w:type="spellStart"/>
            <w:r w:rsidRPr="000E226A">
              <w:rPr>
                <w:i w:val="0"/>
                <w:iCs w:val="0"/>
                <w:color w:val="auto"/>
                <w:sz w:val="16"/>
                <w:szCs w:val="16"/>
                <w:lang w:val="es-CO"/>
              </w:rPr>
              <w:t>Semieniuk</w:t>
            </w:r>
            <w:proofErr w:type="spellEnd"/>
            <w:r w:rsidRPr="000E226A">
              <w:rPr>
                <w:i w:val="0"/>
                <w:iCs w:val="0"/>
                <w:color w:val="auto"/>
                <w:sz w:val="16"/>
                <w:szCs w:val="16"/>
                <w:lang w:val="es-CO"/>
              </w:rPr>
              <w:t xml:space="preserve"> el. al, 2020); </w:t>
            </w: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w:t>
            </w:r>
          </w:p>
        </w:tc>
      </w:tr>
      <w:tr w:rsidR="00C52ECA" w:rsidRPr="000E226A" w14:paraId="3650760E"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36D731DA" w14:textId="38ED3F31" w:rsidR="00C52ECA" w:rsidRDefault="00C52ECA" w:rsidP="00C52ECA">
            <w:pPr>
              <w:pStyle w:val="Descripcin"/>
              <w:rPr>
                <w:i w:val="0"/>
                <w:iCs w:val="0"/>
                <w:color w:val="auto"/>
                <w:sz w:val="16"/>
                <w:szCs w:val="16"/>
                <w:lang w:val="es-CO"/>
              </w:rPr>
            </w:pPr>
            <w:r>
              <w:rPr>
                <w:i w:val="0"/>
                <w:iCs w:val="0"/>
                <w:color w:val="auto"/>
                <w:sz w:val="16"/>
                <w:szCs w:val="16"/>
                <w:lang w:val="es-CO"/>
              </w:rPr>
              <w:lastRenderedPageBreak/>
              <w:t>RM2</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78A039C1" w14:textId="2F2A77CF" w:rsidR="00C52ECA" w:rsidRPr="000E226A" w:rsidRDefault="00C52ECA" w:rsidP="00C52ECA">
            <w:pPr>
              <w:pStyle w:val="Descripcin"/>
              <w:ind w:firstLine="0"/>
              <w:rPr>
                <w:i w:val="0"/>
                <w:iCs w:val="0"/>
                <w:color w:val="auto"/>
                <w:sz w:val="16"/>
                <w:szCs w:val="16"/>
                <w:lang w:val="es-CO"/>
              </w:rPr>
            </w:pPr>
            <w:r w:rsidRPr="00D019EE">
              <w:rPr>
                <w:i w:val="0"/>
                <w:iCs w:val="0"/>
                <w:color w:val="auto"/>
                <w:sz w:val="16"/>
                <w:szCs w:val="16"/>
                <w:lang w:val="es-CO"/>
              </w:rPr>
              <w:t>Mercado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5D49ED8" w14:textId="0B430D9B"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Materias primas: volatilidad de precios y disponibilidad</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8DE9684" w14:textId="266D98C6"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Los cambios en los precios, demanda, volatilidad, y demás aspectos relacionados con el cambio climático que afectan a la materia prima de los productos</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4E411BD2" w14:textId="558AB6E0"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Revalorización de los activos (por ejemplo, reservas de combustibles fósiles, valoraciones de tierras, valoraciones de valores)</w:t>
            </w:r>
            <w:r w:rsidRPr="000E226A">
              <w:rPr>
                <w:i w:val="0"/>
                <w:iCs w:val="0"/>
                <w:color w:val="auto"/>
                <w:sz w:val="16"/>
                <w:szCs w:val="16"/>
                <w:lang w:val="es-CO"/>
              </w:rPr>
              <w:br/>
              <w:t xml:space="preserve">2. Incertidumbre en los costos de las materias primas </w:t>
            </w:r>
            <w:r w:rsidRPr="000E226A">
              <w:rPr>
                <w:i w:val="0"/>
                <w:iCs w:val="0"/>
                <w:color w:val="auto"/>
                <w:sz w:val="16"/>
                <w:szCs w:val="16"/>
                <w:lang w:val="es-CO"/>
              </w:rPr>
              <w:br/>
              <w:t>3. Aumento de los costos de producción debido a los cambios en los precios de los insumos (p. Ej., Energía, agua) y los requisitos de producción (p. Ej., Tratamiento de desechos)</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tcPr>
          <w:p w14:paraId="32D52746" w14:textId="45968C23" w:rsidR="00C52ECA" w:rsidRPr="000E226A" w:rsidRDefault="00C52ECA" w:rsidP="00C52ECA">
            <w:pPr>
              <w:pStyle w:val="Descripcin"/>
              <w:ind w:firstLine="0"/>
              <w:rPr>
                <w:i w:val="0"/>
                <w:iCs w:val="0"/>
                <w:color w:val="auto"/>
                <w:sz w:val="16"/>
                <w:szCs w:val="16"/>
                <w:lang w:val="es-CO"/>
              </w:rPr>
            </w:pPr>
            <w:r w:rsidRPr="00D479E8">
              <w:rPr>
                <w:i w:val="0"/>
                <w:iCs w:val="0"/>
                <w:color w:val="auto"/>
                <w:sz w:val="16"/>
                <w:szCs w:val="16"/>
                <w:lang w:val="en-US"/>
              </w:rPr>
              <w:t xml:space="preserve">Demaria &amp; Rigot (2021); TCFD, (2017); </w:t>
            </w:r>
            <w:proofErr w:type="spellStart"/>
            <w:r w:rsidRPr="00D479E8">
              <w:rPr>
                <w:i w:val="0"/>
                <w:iCs w:val="0"/>
                <w:color w:val="auto"/>
                <w:sz w:val="16"/>
                <w:szCs w:val="16"/>
                <w:lang w:val="en-US"/>
              </w:rPr>
              <w:t>Buttini</w:t>
            </w:r>
            <w:proofErr w:type="spellEnd"/>
            <w:r w:rsidRPr="00D479E8">
              <w:rPr>
                <w:i w:val="0"/>
                <w:iCs w:val="0"/>
                <w:color w:val="auto"/>
                <w:sz w:val="16"/>
                <w:szCs w:val="16"/>
                <w:lang w:val="en-US"/>
              </w:rPr>
              <w:t xml:space="preserve"> et al. </w:t>
            </w:r>
            <w:r w:rsidRPr="000E226A">
              <w:rPr>
                <w:i w:val="0"/>
                <w:iCs w:val="0"/>
                <w:color w:val="auto"/>
                <w:sz w:val="16"/>
                <w:szCs w:val="16"/>
                <w:lang w:val="es-CO"/>
              </w:rPr>
              <w:t xml:space="preserve">(2016); </w:t>
            </w:r>
            <w:proofErr w:type="spellStart"/>
            <w:r w:rsidRPr="000E226A">
              <w:rPr>
                <w:i w:val="0"/>
                <w:iCs w:val="0"/>
                <w:color w:val="auto"/>
                <w:sz w:val="16"/>
                <w:szCs w:val="16"/>
                <w:lang w:val="es-CO"/>
              </w:rPr>
              <w:t>Gasbarro</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Iraldo</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Daddi</w:t>
            </w:r>
            <w:proofErr w:type="spellEnd"/>
            <w:r w:rsidRPr="000E226A">
              <w:rPr>
                <w:i w:val="0"/>
                <w:iCs w:val="0"/>
                <w:color w:val="auto"/>
                <w:sz w:val="16"/>
                <w:szCs w:val="16"/>
                <w:lang w:val="es-CO"/>
              </w:rPr>
              <w:t xml:space="preserve"> (2017)</w:t>
            </w:r>
          </w:p>
        </w:tc>
      </w:tr>
      <w:tr w:rsidR="00C52ECA" w:rsidRPr="00BB6E11" w14:paraId="2D5E3B5D" w14:textId="77777777" w:rsidTr="00C52ECA">
        <w:trPr>
          <w:trHeight w:val="300"/>
          <w:tblCellSpacing w:w="0" w:type="dxa"/>
        </w:trPr>
        <w:tc>
          <w:tcPr>
            <w:tcW w:w="104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A64874B" w14:textId="5D97FADB" w:rsidR="00C52ECA" w:rsidRPr="000E226A" w:rsidRDefault="00C52ECA" w:rsidP="00C52ECA">
            <w:pPr>
              <w:pStyle w:val="Descripcin"/>
              <w:rPr>
                <w:i w:val="0"/>
                <w:iCs w:val="0"/>
                <w:color w:val="auto"/>
                <w:sz w:val="16"/>
                <w:szCs w:val="16"/>
                <w:lang w:val="es-CO"/>
              </w:rPr>
            </w:pPr>
            <w:r>
              <w:rPr>
                <w:i w:val="0"/>
                <w:iCs w:val="0"/>
                <w:color w:val="auto"/>
                <w:sz w:val="16"/>
                <w:szCs w:val="16"/>
                <w:lang w:val="es-CO"/>
              </w:rPr>
              <w:t>RM3</w:t>
            </w:r>
          </w:p>
        </w:tc>
        <w:tc>
          <w:tcPr>
            <w:tcW w:w="950" w:type="dxa"/>
            <w:tcBorders>
              <w:top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DA6F940" w14:textId="77777777" w:rsidR="00C52ECA" w:rsidRPr="000E226A" w:rsidRDefault="00C52ECA" w:rsidP="00C52ECA">
            <w:pPr>
              <w:pStyle w:val="Descripcin"/>
              <w:ind w:firstLine="0"/>
              <w:rPr>
                <w:i w:val="0"/>
                <w:iCs w:val="0"/>
                <w:color w:val="auto"/>
                <w:sz w:val="16"/>
                <w:szCs w:val="16"/>
                <w:lang w:val="es-CO"/>
              </w:rPr>
            </w:pPr>
            <w:r w:rsidRPr="00D019EE">
              <w:rPr>
                <w:i w:val="0"/>
                <w:iCs w:val="0"/>
                <w:color w:val="auto"/>
                <w:sz w:val="16"/>
                <w:szCs w:val="16"/>
                <w:lang w:val="es-CO"/>
              </w:rPr>
              <w:t>Mercado</w:t>
            </w:r>
          </w:p>
        </w:tc>
        <w:tc>
          <w:tcPr>
            <w:tcW w:w="1332" w:type="dxa"/>
            <w:tcBorders>
              <w:top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9B4DE26"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Preocupación de los </w:t>
            </w:r>
            <w:proofErr w:type="spellStart"/>
            <w:r w:rsidRPr="000E226A">
              <w:rPr>
                <w:i w:val="0"/>
                <w:iCs w:val="0"/>
                <w:color w:val="auto"/>
                <w:sz w:val="16"/>
                <w:szCs w:val="16"/>
                <w:lang w:val="es-CO"/>
              </w:rPr>
              <w:t>stakeholders</w:t>
            </w:r>
            <w:proofErr w:type="spellEnd"/>
            <w:r w:rsidRPr="000E226A">
              <w:rPr>
                <w:i w:val="0"/>
                <w:iCs w:val="0"/>
                <w:color w:val="auto"/>
                <w:sz w:val="16"/>
                <w:szCs w:val="16"/>
                <w:lang w:val="es-CO"/>
              </w:rPr>
              <w:t xml:space="preserve"> por el cambio climático</w:t>
            </w:r>
          </w:p>
        </w:tc>
        <w:tc>
          <w:tcPr>
            <w:tcW w:w="3593" w:type="dxa"/>
            <w:tcBorders>
              <w:top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ABB1FBD"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Preocupación en los actores con alguna influencia en el mercado, o que se vean afectados por este, generando así incertidumbre</w:t>
            </w:r>
          </w:p>
        </w:tc>
        <w:tc>
          <w:tcPr>
            <w:tcW w:w="2812" w:type="dxa"/>
            <w:tcBorders>
              <w:top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7BD5786"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1. Aversión a la inversión </w:t>
            </w:r>
            <w:r w:rsidRPr="000E226A">
              <w:rPr>
                <w:i w:val="0"/>
                <w:iCs w:val="0"/>
                <w:color w:val="auto"/>
                <w:sz w:val="16"/>
                <w:szCs w:val="16"/>
                <w:lang w:val="es-CO"/>
              </w:rPr>
              <w:br/>
              <w:t>2. Incremento de litigios contra contrapartes, culminando en posibles riesgos reputacionales</w:t>
            </w:r>
            <w:r w:rsidRPr="000E226A">
              <w:rPr>
                <w:i w:val="0"/>
                <w:iCs w:val="0"/>
                <w:color w:val="auto"/>
                <w:sz w:val="16"/>
                <w:szCs w:val="16"/>
                <w:lang w:val="es-CO"/>
              </w:rPr>
              <w:br/>
              <w:t>3. Mayor costo de capital</w:t>
            </w:r>
          </w:p>
        </w:tc>
        <w:tc>
          <w:tcPr>
            <w:tcW w:w="3398" w:type="dxa"/>
            <w:tcBorders>
              <w:top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5D37C8E" w14:textId="77777777" w:rsidR="00C52ECA" w:rsidRPr="00D479E8" w:rsidRDefault="00C52ECA" w:rsidP="00C52ECA">
            <w:pPr>
              <w:pStyle w:val="Descripcin"/>
              <w:ind w:firstLine="0"/>
              <w:rPr>
                <w:i w:val="0"/>
                <w:iCs w:val="0"/>
                <w:color w:val="auto"/>
                <w:sz w:val="16"/>
                <w:szCs w:val="16"/>
                <w:lang w:val="en-US"/>
              </w:rPr>
            </w:pPr>
            <w:r w:rsidRPr="00D479E8">
              <w:rPr>
                <w:i w:val="0"/>
                <w:iCs w:val="0"/>
                <w:color w:val="auto"/>
                <w:sz w:val="16"/>
                <w:szCs w:val="16"/>
                <w:lang w:val="en-US"/>
              </w:rPr>
              <w:t>Demaria &amp; Rigot (2021); TCFD, (2017); Campiglio, Monnin &amp; von Jagow (2019); European Banking Authority (2021); S&amp;P Global (2021)</w:t>
            </w:r>
          </w:p>
        </w:tc>
      </w:tr>
      <w:tr w:rsidR="00C52ECA" w:rsidRPr="000E226A" w14:paraId="57922E0B" w14:textId="77777777" w:rsidTr="00E0372D">
        <w:trPr>
          <w:trHeight w:val="116"/>
          <w:tblCellSpacing w:w="0" w:type="dxa"/>
        </w:trPr>
        <w:tc>
          <w:tcPr>
            <w:tcW w:w="1041" w:type="dxa"/>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3182838" w14:textId="1309708D" w:rsidR="00C52ECA" w:rsidRPr="000E226A" w:rsidRDefault="00C52ECA" w:rsidP="00C52ECA">
            <w:pPr>
              <w:pStyle w:val="Descripcin"/>
              <w:rPr>
                <w:i w:val="0"/>
                <w:iCs w:val="0"/>
                <w:color w:val="auto"/>
                <w:sz w:val="16"/>
                <w:szCs w:val="16"/>
                <w:lang w:val="es-CO"/>
              </w:rPr>
            </w:pPr>
            <w:r>
              <w:rPr>
                <w:i w:val="0"/>
                <w:iCs w:val="0"/>
                <w:color w:val="auto"/>
                <w:sz w:val="16"/>
                <w:szCs w:val="16"/>
                <w:lang w:val="es-CO"/>
              </w:rPr>
              <w:t>RM4</w:t>
            </w:r>
          </w:p>
        </w:tc>
        <w:tc>
          <w:tcPr>
            <w:tcW w:w="950" w:type="dxa"/>
            <w:tcBorders>
              <w:bottom w:val="single" w:sz="6" w:space="0" w:color="000000"/>
              <w:right w:val="single" w:sz="6" w:space="0" w:color="000000"/>
            </w:tcBorders>
            <w:tcMar>
              <w:top w:w="0" w:type="dxa"/>
              <w:left w:w="45" w:type="dxa"/>
              <w:bottom w:w="0" w:type="dxa"/>
              <w:right w:w="45" w:type="dxa"/>
            </w:tcMar>
            <w:vAlign w:val="center"/>
            <w:hideMark/>
          </w:tcPr>
          <w:p w14:paraId="20CBA01F" w14:textId="77777777" w:rsidR="00C52ECA" w:rsidRPr="000E226A" w:rsidRDefault="00C52ECA" w:rsidP="00C52ECA">
            <w:pPr>
              <w:pStyle w:val="Descripcin"/>
              <w:ind w:firstLine="0"/>
              <w:rPr>
                <w:i w:val="0"/>
                <w:iCs w:val="0"/>
                <w:color w:val="auto"/>
                <w:sz w:val="16"/>
                <w:szCs w:val="16"/>
                <w:lang w:val="es-CO"/>
              </w:rPr>
            </w:pPr>
            <w:r w:rsidRPr="00D019EE">
              <w:rPr>
                <w:i w:val="0"/>
                <w:iCs w:val="0"/>
                <w:color w:val="auto"/>
                <w:sz w:val="16"/>
                <w:szCs w:val="16"/>
                <w:lang w:val="es-CO"/>
              </w:rPr>
              <w:t>Mercado</w:t>
            </w:r>
          </w:p>
        </w:tc>
        <w:tc>
          <w:tcPr>
            <w:tcW w:w="1332" w:type="dxa"/>
            <w:tcBorders>
              <w:bottom w:val="single" w:sz="6" w:space="0" w:color="000000"/>
              <w:right w:val="single" w:sz="6" w:space="0" w:color="000000"/>
            </w:tcBorders>
            <w:tcMar>
              <w:top w:w="0" w:type="dxa"/>
              <w:left w:w="45" w:type="dxa"/>
              <w:bottom w:w="0" w:type="dxa"/>
              <w:right w:w="45" w:type="dxa"/>
            </w:tcMar>
            <w:vAlign w:val="center"/>
            <w:hideMark/>
          </w:tcPr>
          <w:p w14:paraId="3ECA8C72"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Poca adaptación a los cambios en el comportamiento de los clientes</w:t>
            </w:r>
          </w:p>
        </w:tc>
        <w:tc>
          <w:tcPr>
            <w:tcW w:w="3593" w:type="dxa"/>
            <w:tcBorders>
              <w:bottom w:val="single" w:sz="6" w:space="0" w:color="000000"/>
              <w:right w:val="single" w:sz="6" w:space="0" w:color="000000"/>
            </w:tcBorders>
            <w:tcMar>
              <w:top w:w="0" w:type="dxa"/>
              <w:left w:w="45" w:type="dxa"/>
              <w:bottom w:w="0" w:type="dxa"/>
              <w:right w:w="45" w:type="dxa"/>
            </w:tcMar>
            <w:vAlign w:val="center"/>
            <w:hideMark/>
          </w:tcPr>
          <w:p w14:paraId="7B7ABA51"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Escasa adaptabilidad del modelo de negocio de las organizaciones ante el cambio de necesidades, deseos y comportamientos de los clientes con respecto al cambio climático.</w:t>
            </w:r>
          </w:p>
        </w:tc>
        <w:tc>
          <w:tcPr>
            <w:tcW w:w="2812" w:type="dxa"/>
            <w:tcBorders>
              <w:bottom w:val="single" w:sz="6" w:space="0" w:color="000000"/>
              <w:right w:val="single" w:sz="6" w:space="0" w:color="000000"/>
            </w:tcBorders>
            <w:tcMar>
              <w:top w:w="0" w:type="dxa"/>
              <w:left w:w="45" w:type="dxa"/>
              <w:bottom w:w="0" w:type="dxa"/>
              <w:right w:w="45" w:type="dxa"/>
            </w:tcMar>
            <w:vAlign w:val="center"/>
            <w:hideMark/>
          </w:tcPr>
          <w:p w14:paraId="2E4AAB84"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Impacto en el modelo de negocio</w:t>
            </w:r>
            <w:r w:rsidRPr="000E226A">
              <w:rPr>
                <w:i w:val="0"/>
                <w:iCs w:val="0"/>
                <w:color w:val="auto"/>
                <w:sz w:val="16"/>
                <w:szCs w:val="16"/>
                <w:lang w:val="es-CO"/>
              </w:rPr>
              <w:br/>
              <w:t>2. Mayor costo operativo</w:t>
            </w:r>
            <w:r w:rsidRPr="000E226A">
              <w:rPr>
                <w:i w:val="0"/>
                <w:iCs w:val="0"/>
                <w:color w:val="auto"/>
                <w:sz w:val="16"/>
                <w:szCs w:val="16"/>
                <w:lang w:val="es-CO"/>
              </w:rPr>
              <w:br/>
              <w:t>3. Rentabilidad reducida</w:t>
            </w:r>
            <w:r w:rsidRPr="000E226A">
              <w:rPr>
                <w:i w:val="0"/>
                <w:iCs w:val="0"/>
                <w:color w:val="auto"/>
                <w:sz w:val="16"/>
                <w:szCs w:val="16"/>
                <w:lang w:val="es-CO"/>
              </w:rPr>
              <w:br/>
              <w:t>4. Precio de las acciones reducido (valoración de mercado)</w:t>
            </w:r>
          </w:p>
        </w:tc>
        <w:tc>
          <w:tcPr>
            <w:tcW w:w="3398" w:type="dxa"/>
            <w:tcBorders>
              <w:bottom w:val="single" w:sz="6" w:space="0" w:color="000000"/>
              <w:right w:val="single" w:sz="6" w:space="0" w:color="000000"/>
            </w:tcBorders>
            <w:tcMar>
              <w:top w:w="0" w:type="dxa"/>
              <w:left w:w="45" w:type="dxa"/>
              <w:bottom w:w="0" w:type="dxa"/>
              <w:right w:w="45" w:type="dxa"/>
            </w:tcMar>
            <w:vAlign w:val="center"/>
            <w:hideMark/>
          </w:tcPr>
          <w:p w14:paraId="01A2A4A0" w14:textId="77777777" w:rsidR="00C52ECA" w:rsidRPr="000E226A" w:rsidRDefault="00C52ECA" w:rsidP="00C52ECA">
            <w:pPr>
              <w:pStyle w:val="Descripcin"/>
              <w:ind w:firstLine="0"/>
              <w:rPr>
                <w:i w:val="0"/>
                <w:iCs w:val="0"/>
                <w:color w:val="auto"/>
                <w:sz w:val="16"/>
                <w:szCs w:val="16"/>
                <w:lang w:val="es-CO"/>
              </w:rPr>
            </w:pP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 TCFD, (2017)</w:t>
            </w:r>
          </w:p>
        </w:tc>
      </w:tr>
      <w:tr w:rsidR="00C52ECA" w:rsidRPr="00BB6E11" w14:paraId="2FD533B8" w14:textId="77777777" w:rsidTr="00C52ECA">
        <w:trPr>
          <w:trHeight w:val="300"/>
          <w:tblCellSpacing w:w="0" w:type="dxa"/>
        </w:trPr>
        <w:tc>
          <w:tcPr>
            <w:tcW w:w="1041" w:type="dxa"/>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DED8C90" w14:textId="2DD9E7AE" w:rsidR="00C52ECA" w:rsidRPr="000E226A" w:rsidRDefault="00C52ECA" w:rsidP="00C52ECA">
            <w:pPr>
              <w:pStyle w:val="Descripcin"/>
              <w:rPr>
                <w:i w:val="0"/>
                <w:iCs w:val="0"/>
                <w:color w:val="auto"/>
                <w:sz w:val="16"/>
                <w:szCs w:val="16"/>
                <w:lang w:val="es-CO"/>
              </w:rPr>
            </w:pPr>
            <w:proofErr w:type="spellStart"/>
            <w:r>
              <w:rPr>
                <w:i w:val="0"/>
                <w:iCs w:val="0"/>
                <w:color w:val="auto"/>
                <w:sz w:val="16"/>
                <w:szCs w:val="16"/>
                <w:lang w:val="es-CO"/>
              </w:rPr>
              <w:t>Rrep</w:t>
            </w:r>
            <w:proofErr w:type="spellEnd"/>
            <w:r>
              <w:rPr>
                <w:i w:val="0"/>
                <w:iCs w:val="0"/>
                <w:color w:val="auto"/>
                <w:sz w:val="16"/>
                <w:szCs w:val="16"/>
                <w:lang w:val="es-CO"/>
              </w:rPr>
              <w:t xml:space="preserve"> 1</w:t>
            </w:r>
          </w:p>
        </w:tc>
        <w:tc>
          <w:tcPr>
            <w:tcW w:w="950" w:type="dxa"/>
            <w:tcBorders>
              <w:bottom w:val="single" w:sz="6" w:space="0" w:color="000000"/>
              <w:right w:val="single" w:sz="6" w:space="0" w:color="000000"/>
            </w:tcBorders>
            <w:tcMar>
              <w:top w:w="0" w:type="dxa"/>
              <w:left w:w="45" w:type="dxa"/>
              <w:bottom w:w="0" w:type="dxa"/>
              <w:right w:w="45" w:type="dxa"/>
            </w:tcMar>
            <w:vAlign w:val="center"/>
            <w:hideMark/>
          </w:tcPr>
          <w:p w14:paraId="3D364342"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Reputacional</w:t>
            </w:r>
          </w:p>
        </w:tc>
        <w:tc>
          <w:tcPr>
            <w:tcW w:w="1332" w:type="dxa"/>
            <w:tcBorders>
              <w:bottom w:val="single" w:sz="6" w:space="0" w:color="000000"/>
              <w:right w:val="single" w:sz="6" w:space="0" w:color="000000"/>
            </w:tcBorders>
            <w:tcMar>
              <w:top w:w="0" w:type="dxa"/>
              <w:left w:w="45" w:type="dxa"/>
              <w:bottom w:w="0" w:type="dxa"/>
              <w:right w:w="45" w:type="dxa"/>
            </w:tcMar>
            <w:vAlign w:val="center"/>
            <w:hideMark/>
          </w:tcPr>
          <w:p w14:paraId="65BF17BC"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Cambios en las preferencias de los consumidores </w:t>
            </w:r>
          </w:p>
        </w:tc>
        <w:tc>
          <w:tcPr>
            <w:tcW w:w="3593" w:type="dxa"/>
            <w:tcBorders>
              <w:bottom w:val="single" w:sz="6" w:space="0" w:color="000000"/>
              <w:right w:val="single" w:sz="6" w:space="0" w:color="000000"/>
            </w:tcBorders>
            <w:tcMar>
              <w:top w:w="0" w:type="dxa"/>
              <w:left w:w="45" w:type="dxa"/>
              <w:bottom w:w="0" w:type="dxa"/>
              <w:right w:w="45" w:type="dxa"/>
            </w:tcMar>
            <w:vAlign w:val="center"/>
            <w:hideMark/>
          </w:tcPr>
          <w:p w14:paraId="6EFE828D" w14:textId="45551062"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Riesgo en la reputación derivado de la </w:t>
            </w:r>
            <w:r w:rsidR="004D533A" w:rsidRPr="000E226A">
              <w:rPr>
                <w:i w:val="0"/>
                <w:iCs w:val="0"/>
                <w:color w:val="auto"/>
                <w:sz w:val="16"/>
                <w:szCs w:val="16"/>
                <w:lang w:val="es-CO"/>
              </w:rPr>
              <w:t>pérdida</w:t>
            </w:r>
            <w:r w:rsidRPr="000E226A">
              <w:rPr>
                <w:i w:val="0"/>
                <w:iCs w:val="0"/>
                <w:color w:val="auto"/>
                <w:sz w:val="16"/>
                <w:szCs w:val="16"/>
                <w:lang w:val="es-CO"/>
              </w:rPr>
              <w:t xml:space="preserve"> o cambio de preferencia por el producto de una empresa</w:t>
            </w:r>
          </w:p>
        </w:tc>
        <w:tc>
          <w:tcPr>
            <w:tcW w:w="2812" w:type="dxa"/>
            <w:tcBorders>
              <w:bottom w:val="single" w:sz="6" w:space="0" w:color="000000"/>
              <w:right w:val="single" w:sz="6" w:space="0" w:color="000000"/>
            </w:tcBorders>
            <w:tcMar>
              <w:top w:w="0" w:type="dxa"/>
              <w:left w:w="45" w:type="dxa"/>
              <w:bottom w:w="0" w:type="dxa"/>
              <w:right w:w="45" w:type="dxa"/>
            </w:tcMar>
            <w:vAlign w:val="center"/>
            <w:hideMark/>
          </w:tcPr>
          <w:p w14:paraId="34E353B5"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Disminución del valor de acciones</w:t>
            </w:r>
            <w:r w:rsidRPr="000E226A">
              <w:rPr>
                <w:i w:val="0"/>
                <w:iCs w:val="0"/>
                <w:color w:val="auto"/>
                <w:sz w:val="16"/>
                <w:szCs w:val="16"/>
                <w:lang w:val="es-CO"/>
              </w:rPr>
              <w:br/>
              <w:t>2. Pérdida en la demanda por productos de la compañía</w:t>
            </w:r>
          </w:p>
        </w:tc>
        <w:tc>
          <w:tcPr>
            <w:tcW w:w="3398" w:type="dxa"/>
            <w:tcBorders>
              <w:bottom w:val="single" w:sz="6" w:space="0" w:color="000000"/>
              <w:right w:val="single" w:sz="6" w:space="0" w:color="000000"/>
            </w:tcBorders>
            <w:tcMar>
              <w:top w:w="0" w:type="dxa"/>
              <w:left w:w="45" w:type="dxa"/>
              <w:bottom w:w="0" w:type="dxa"/>
              <w:right w:w="45" w:type="dxa"/>
            </w:tcMar>
            <w:vAlign w:val="center"/>
            <w:hideMark/>
          </w:tcPr>
          <w:p w14:paraId="100F2398" w14:textId="77777777" w:rsidR="00C52ECA" w:rsidRPr="00D479E8" w:rsidRDefault="00C52ECA" w:rsidP="00C52ECA">
            <w:pPr>
              <w:pStyle w:val="Descripcin"/>
              <w:ind w:firstLine="0"/>
              <w:rPr>
                <w:i w:val="0"/>
                <w:iCs w:val="0"/>
                <w:color w:val="auto"/>
                <w:sz w:val="16"/>
                <w:szCs w:val="16"/>
                <w:lang w:val="en-US"/>
              </w:rPr>
            </w:pP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 TCFD, (2017); Entela (2020); </w:t>
            </w:r>
            <w:proofErr w:type="spellStart"/>
            <w:r w:rsidRPr="000E226A">
              <w:rPr>
                <w:i w:val="0"/>
                <w:iCs w:val="0"/>
                <w:color w:val="auto"/>
                <w:sz w:val="16"/>
                <w:szCs w:val="16"/>
                <w:lang w:val="es-CO"/>
              </w:rPr>
              <w:t>Gasbarro</w:t>
            </w:r>
            <w:proofErr w:type="spellEnd"/>
            <w:r w:rsidRPr="000E226A">
              <w:rPr>
                <w:i w:val="0"/>
                <w:iCs w:val="0"/>
                <w:color w:val="auto"/>
                <w:sz w:val="16"/>
                <w:szCs w:val="16"/>
                <w:lang w:val="es-CO"/>
              </w:rPr>
              <w:t xml:space="preserve">, </w:t>
            </w:r>
            <w:proofErr w:type="spellStart"/>
            <w:r w:rsidRPr="000E226A">
              <w:rPr>
                <w:i w:val="0"/>
                <w:iCs w:val="0"/>
                <w:color w:val="auto"/>
                <w:sz w:val="16"/>
                <w:szCs w:val="16"/>
                <w:lang w:val="es-CO"/>
              </w:rPr>
              <w:t>Iraldo</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Daddi</w:t>
            </w:r>
            <w:proofErr w:type="spellEnd"/>
            <w:r w:rsidRPr="000E226A">
              <w:rPr>
                <w:i w:val="0"/>
                <w:iCs w:val="0"/>
                <w:color w:val="auto"/>
                <w:sz w:val="16"/>
                <w:szCs w:val="16"/>
                <w:lang w:val="es-CO"/>
              </w:rPr>
              <w:t xml:space="preserve"> (2017); UNEP FI (2021); </w:t>
            </w:r>
            <w:proofErr w:type="spellStart"/>
            <w:r w:rsidRPr="000E226A">
              <w:rPr>
                <w:i w:val="0"/>
                <w:iCs w:val="0"/>
                <w:color w:val="auto"/>
                <w:sz w:val="16"/>
                <w:szCs w:val="16"/>
                <w:lang w:val="es-CO"/>
              </w:rPr>
              <w:t>Blasberg</w:t>
            </w:r>
            <w:proofErr w:type="spellEnd"/>
            <w:r w:rsidRPr="000E226A">
              <w:rPr>
                <w:i w:val="0"/>
                <w:iCs w:val="0"/>
                <w:color w:val="auto"/>
                <w:sz w:val="16"/>
                <w:szCs w:val="16"/>
                <w:lang w:val="es-CO"/>
              </w:rPr>
              <w:t xml:space="preserve"> et al. </w:t>
            </w:r>
            <w:r w:rsidRPr="00D479E8">
              <w:rPr>
                <w:i w:val="0"/>
                <w:iCs w:val="0"/>
                <w:color w:val="auto"/>
                <w:sz w:val="16"/>
                <w:szCs w:val="16"/>
                <w:lang w:val="en-US"/>
              </w:rPr>
              <w:t>(2021); Marsh &amp; McLennan Companies (2017); Bank for International Settlements (2021); European Banking Authority (2021)</w:t>
            </w:r>
          </w:p>
        </w:tc>
      </w:tr>
      <w:tr w:rsidR="00C52ECA" w:rsidRPr="000E226A" w14:paraId="47FD2606" w14:textId="77777777" w:rsidTr="00C52ECA">
        <w:trPr>
          <w:trHeight w:val="300"/>
          <w:tblCellSpacing w:w="0" w:type="dxa"/>
        </w:trPr>
        <w:tc>
          <w:tcPr>
            <w:tcW w:w="1041" w:type="dxa"/>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12DE7D9" w14:textId="2B3C0212" w:rsidR="00C52ECA" w:rsidRPr="000E226A" w:rsidRDefault="00C52ECA" w:rsidP="00C52ECA">
            <w:pPr>
              <w:pStyle w:val="Descripcin"/>
              <w:rPr>
                <w:i w:val="0"/>
                <w:iCs w:val="0"/>
                <w:color w:val="auto"/>
                <w:sz w:val="16"/>
                <w:szCs w:val="16"/>
                <w:lang w:val="es-CO"/>
              </w:rPr>
            </w:pPr>
            <w:proofErr w:type="spellStart"/>
            <w:r>
              <w:rPr>
                <w:i w:val="0"/>
                <w:iCs w:val="0"/>
                <w:color w:val="auto"/>
                <w:sz w:val="16"/>
                <w:szCs w:val="16"/>
                <w:lang w:val="es-CO"/>
              </w:rPr>
              <w:t>Rrep</w:t>
            </w:r>
            <w:proofErr w:type="spellEnd"/>
            <w:r>
              <w:rPr>
                <w:i w:val="0"/>
                <w:iCs w:val="0"/>
                <w:color w:val="auto"/>
                <w:sz w:val="16"/>
                <w:szCs w:val="16"/>
                <w:lang w:val="es-CO"/>
              </w:rPr>
              <w:t xml:space="preserve"> 2</w:t>
            </w:r>
          </w:p>
        </w:tc>
        <w:tc>
          <w:tcPr>
            <w:tcW w:w="950" w:type="dxa"/>
            <w:tcBorders>
              <w:bottom w:val="single" w:sz="6" w:space="0" w:color="000000"/>
              <w:right w:val="single" w:sz="6" w:space="0" w:color="000000"/>
            </w:tcBorders>
            <w:tcMar>
              <w:top w:w="0" w:type="dxa"/>
              <w:left w:w="45" w:type="dxa"/>
              <w:bottom w:w="0" w:type="dxa"/>
              <w:right w:w="45" w:type="dxa"/>
            </w:tcMar>
            <w:vAlign w:val="center"/>
            <w:hideMark/>
          </w:tcPr>
          <w:p w14:paraId="792426AD"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Reputacional</w:t>
            </w:r>
          </w:p>
        </w:tc>
        <w:tc>
          <w:tcPr>
            <w:tcW w:w="1332" w:type="dxa"/>
            <w:tcBorders>
              <w:bottom w:val="single" w:sz="6" w:space="0" w:color="000000"/>
              <w:right w:val="single" w:sz="6" w:space="0" w:color="000000"/>
            </w:tcBorders>
            <w:tcMar>
              <w:top w:w="0" w:type="dxa"/>
              <w:left w:w="45" w:type="dxa"/>
              <w:bottom w:w="0" w:type="dxa"/>
              <w:right w:w="45" w:type="dxa"/>
            </w:tcMar>
            <w:vAlign w:val="center"/>
            <w:hideMark/>
          </w:tcPr>
          <w:p w14:paraId="7AECB98C"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Presiones crecientes de organizaciones no gubernamentales</w:t>
            </w:r>
          </w:p>
        </w:tc>
        <w:tc>
          <w:tcPr>
            <w:tcW w:w="3593" w:type="dxa"/>
            <w:tcBorders>
              <w:bottom w:val="single" w:sz="6" w:space="0" w:color="000000"/>
              <w:right w:val="single" w:sz="6" w:space="0" w:color="000000"/>
            </w:tcBorders>
            <w:tcMar>
              <w:top w:w="0" w:type="dxa"/>
              <w:left w:w="45" w:type="dxa"/>
              <w:bottom w:w="0" w:type="dxa"/>
              <w:right w:w="45" w:type="dxa"/>
            </w:tcMar>
            <w:vAlign w:val="center"/>
            <w:hideMark/>
          </w:tcPr>
          <w:p w14:paraId="6697360E"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Presiones que generen organizaciones no gubernamentales en las acciones de las empresas con impacto en el medio ambiente, llamando la atención de los medios y generando daño reputacional</w:t>
            </w:r>
          </w:p>
        </w:tc>
        <w:tc>
          <w:tcPr>
            <w:tcW w:w="2812" w:type="dxa"/>
            <w:tcBorders>
              <w:bottom w:val="single" w:sz="6" w:space="0" w:color="000000"/>
              <w:right w:val="single" w:sz="6" w:space="0" w:color="000000"/>
            </w:tcBorders>
            <w:tcMar>
              <w:top w:w="0" w:type="dxa"/>
              <w:left w:w="45" w:type="dxa"/>
              <w:bottom w:w="0" w:type="dxa"/>
              <w:right w:w="45" w:type="dxa"/>
            </w:tcMar>
            <w:vAlign w:val="center"/>
            <w:hideMark/>
          </w:tcPr>
          <w:p w14:paraId="52019D36"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Disminución del valor de acciones</w:t>
            </w:r>
            <w:r w:rsidRPr="000E226A">
              <w:rPr>
                <w:i w:val="0"/>
                <w:iCs w:val="0"/>
                <w:color w:val="auto"/>
                <w:sz w:val="16"/>
                <w:szCs w:val="16"/>
                <w:lang w:val="es-CO"/>
              </w:rPr>
              <w:br/>
              <w:t>2. Pérdida en la demanda por productos de la compañía</w:t>
            </w:r>
            <w:r w:rsidRPr="000E226A">
              <w:rPr>
                <w:i w:val="0"/>
                <w:iCs w:val="0"/>
                <w:color w:val="auto"/>
                <w:sz w:val="16"/>
                <w:szCs w:val="16"/>
                <w:lang w:val="es-CO"/>
              </w:rPr>
              <w:br/>
              <w:t>3. Daño reputacional</w:t>
            </w:r>
          </w:p>
        </w:tc>
        <w:tc>
          <w:tcPr>
            <w:tcW w:w="3398" w:type="dxa"/>
            <w:tcBorders>
              <w:bottom w:val="single" w:sz="6" w:space="0" w:color="000000"/>
              <w:right w:val="single" w:sz="6" w:space="0" w:color="000000"/>
            </w:tcBorders>
            <w:tcMar>
              <w:top w:w="0" w:type="dxa"/>
              <w:left w:w="45" w:type="dxa"/>
              <w:bottom w:w="0" w:type="dxa"/>
              <w:right w:w="45" w:type="dxa"/>
            </w:tcMar>
            <w:vAlign w:val="center"/>
            <w:hideMark/>
          </w:tcPr>
          <w:p w14:paraId="22F91090" w14:textId="77777777" w:rsidR="00C52ECA" w:rsidRPr="000E226A" w:rsidRDefault="00C52ECA" w:rsidP="00C52ECA">
            <w:pPr>
              <w:pStyle w:val="Descripcin"/>
              <w:ind w:firstLine="0"/>
              <w:rPr>
                <w:i w:val="0"/>
                <w:iCs w:val="0"/>
                <w:color w:val="auto"/>
                <w:sz w:val="16"/>
                <w:szCs w:val="16"/>
                <w:lang w:val="es-CO"/>
              </w:rPr>
            </w:pPr>
            <w:proofErr w:type="spellStart"/>
            <w:r w:rsidRPr="000E226A">
              <w:rPr>
                <w:i w:val="0"/>
                <w:iCs w:val="0"/>
                <w:color w:val="auto"/>
                <w:sz w:val="16"/>
                <w:szCs w:val="16"/>
                <w:lang w:val="es-CO"/>
              </w:rPr>
              <w:t>Sakhel</w:t>
            </w:r>
            <w:proofErr w:type="spellEnd"/>
            <w:r w:rsidRPr="000E226A">
              <w:rPr>
                <w:i w:val="0"/>
                <w:iCs w:val="0"/>
                <w:color w:val="auto"/>
                <w:sz w:val="16"/>
                <w:szCs w:val="16"/>
                <w:lang w:val="es-CO"/>
              </w:rPr>
              <w:t xml:space="preserve"> (2017)</w:t>
            </w:r>
          </w:p>
        </w:tc>
      </w:tr>
      <w:tr w:rsidR="00C52ECA" w:rsidRPr="000E226A" w14:paraId="3EF61821" w14:textId="77777777" w:rsidTr="00C52ECA">
        <w:trPr>
          <w:trHeight w:val="300"/>
          <w:tblCellSpacing w:w="0" w:type="dxa"/>
        </w:trPr>
        <w:tc>
          <w:tcPr>
            <w:tcW w:w="1041" w:type="dxa"/>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5A8997B" w14:textId="21899CE7" w:rsidR="00C52ECA" w:rsidRPr="000E226A" w:rsidRDefault="00C52ECA" w:rsidP="00C52ECA">
            <w:pPr>
              <w:pStyle w:val="Descripcin"/>
              <w:rPr>
                <w:i w:val="0"/>
                <w:iCs w:val="0"/>
                <w:color w:val="auto"/>
                <w:sz w:val="16"/>
                <w:szCs w:val="16"/>
                <w:lang w:val="es-CO"/>
              </w:rPr>
            </w:pPr>
            <w:proofErr w:type="spellStart"/>
            <w:r>
              <w:rPr>
                <w:i w:val="0"/>
                <w:iCs w:val="0"/>
                <w:color w:val="auto"/>
                <w:sz w:val="16"/>
                <w:szCs w:val="16"/>
                <w:lang w:val="es-CO"/>
              </w:rPr>
              <w:t>Rrep</w:t>
            </w:r>
            <w:proofErr w:type="spellEnd"/>
            <w:r>
              <w:rPr>
                <w:i w:val="0"/>
                <w:iCs w:val="0"/>
                <w:color w:val="auto"/>
                <w:sz w:val="16"/>
                <w:szCs w:val="16"/>
                <w:lang w:val="es-CO"/>
              </w:rPr>
              <w:t xml:space="preserve"> 3</w:t>
            </w:r>
          </w:p>
        </w:tc>
        <w:tc>
          <w:tcPr>
            <w:tcW w:w="950" w:type="dxa"/>
            <w:tcBorders>
              <w:bottom w:val="single" w:sz="6" w:space="0" w:color="000000"/>
              <w:right w:val="single" w:sz="6" w:space="0" w:color="000000"/>
            </w:tcBorders>
            <w:tcMar>
              <w:top w:w="0" w:type="dxa"/>
              <w:left w:w="45" w:type="dxa"/>
              <w:bottom w:w="0" w:type="dxa"/>
              <w:right w:w="45" w:type="dxa"/>
            </w:tcMar>
            <w:vAlign w:val="center"/>
            <w:hideMark/>
          </w:tcPr>
          <w:p w14:paraId="4014F3B4"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Reputacional</w:t>
            </w:r>
          </w:p>
        </w:tc>
        <w:tc>
          <w:tcPr>
            <w:tcW w:w="1332" w:type="dxa"/>
            <w:tcBorders>
              <w:bottom w:val="single" w:sz="6" w:space="0" w:color="000000"/>
              <w:right w:val="single" w:sz="6" w:space="0" w:color="000000"/>
            </w:tcBorders>
            <w:tcMar>
              <w:top w:w="0" w:type="dxa"/>
              <w:left w:w="45" w:type="dxa"/>
              <w:bottom w:w="0" w:type="dxa"/>
              <w:right w:w="45" w:type="dxa"/>
            </w:tcMar>
            <w:vAlign w:val="center"/>
            <w:hideMark/>
          </w:tcPr>
          <w:p w14:paraId="7ED60911"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Noticias y comentarios negativos hacia la empresa</w:t>
            </w:r>
          </w:p>
        </w:tc>
        <w:tc>
          <w:tcPr>
            <w:tcW w:w="3593" w:type="dxa"/>
            <w:tcBorders>
              <w:bottom w:val="single" w:sz="6" w:space="0" w:color="000000"/>
              <w:right w:val="single" w:sz="6" w:space="0" w:color="000000"/>
            </w:tcBorders>
            <w:tcMar>
              <w:top w:w="0" w:type="dxa"/>
              <w:left w:w="45" w:type="dxa"/>
              <w:bottom w:w="0" w:type="dxa"/>
              <w:right w:w="45" w:type="dxa"/>
            </w:tcMar>
            <w:vAlign w:val="center"/>
            <w:hideMark/>
          </w:tcPr>
          <w:p w14:paraId="7426D8B8"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Noticias sobre responsabilidad ambiental pueden aumentar el valor para los accionistas, mientras que la información negativa sobre la responsabilidad ambiental de una empresa puede afectar negativamente su valor para los accionistas.</w:t>
            </w:r>
          </w:p>
        </w:tc>
        <w:tc>
          <w:tcPr>
            <w:tcW w:w="2812" w:type="dxa"/>
            <w:tcBorders>
              <w:bottom w:val="single" w:sz="6" w:space="0" w:color="000000"/>
              <w:right w:val="single" w:sz="6" w:space="0" w:color="000000"/>
            </w:tcBorders>
            <w:tcMar>
              <w:top w:w="0" w:type="dxa"/>
              <w:left w:w="45" w:type="dxa"/>
              <w:bottom w:w="0" w:type="dxa"/>
              <w:right w:w="45" w:type="dxa"/>
            </w:tcMar>
            <w:vAlign w:val="center"/>
            <w:hideMark/>
          </w:tcPr>
          <w:p w14:paraId="1154FB50"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Efecto negativo del valor de la empresa para los accionistas</w:t>
            </w:r>
            <w:r w:rsidRPr="000E226A">
              <w:rPr>
                <w:i w:val="0"/>
                <w:iCs w:val="0"/>
                <w:color w:val="auto"/>
                <w:sz w:val="16"/>
                <w:szCs w:val="16"/>
                <w:lang w:val="es-CO"/>
              </w:rPr>
              <w:br/>
              <w:t>2. Disminución en la base de clientes fidelizados</w:t>
            </w:r>
          </w:p>
        </w:tc>
        <w:tc>
          <w:tcPr>
            <w:tcW w:w="3398" w:type="dxa"/>
            <w:tcBorders>
              <w:bottom w:val="single" w:sz="6" w:space="0" w:color="000000"/>
              <w:right w:val="single" w:sz="6" w:space="0" w:color="000000"/>
            </w:tcBorders>
            <w:tcMar>
              <w:top w:w="0" w:type="dxa"/>
              <w:left w:w="45" w:type="dxa"/>
              <w:bottom w:w="0" w:type="dxa"/>
              <w:right w:w="45" w:type="dxa"/>
            </w:tcMar>
            <w:vAlign w:val="center"/>
            <w:hideMark/>
          </w:tcPr>
          <w:p w14:paraId="0439F845"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Breitenstein et al (2020); </w:t>
            </w:r>
            <w:proofErr w:type="spellStart"/>
            <w:r w:rsidRPr="000E226A">
              <w:rPr>
                <w:i w:val="0"/>
                <w:iCs w:val="0"/>
                <w:color w:val="auto"/>
                <w:sz w:val="16"/>
                <w:szCs w:val="16"/>
                <w:lang w:val="es-CO"/>
              </w:rPr>
              <w:t>Demaria</w:t>
            </w:r>
            <w:proofErr w:type="spellEnd"/>
            <w:r w:rsidRPr="000E226A">
              <w:rPr>
                <w:i w:val="0"/>
                <w:iCs w:val="0"/>
                <w:color w:val="auto"/>
                <w:sz w:val="16"/>
                <w:szCs w:val="16"/>
                <w:lang w:val="es-CO"/>
              </w:rPr>
              <w:t xml:space="preserve"> &amp; </w:t>
            </w:r>
            <w:proofErr w:type="spellStart"/>
            <w:r w:rsidRPr="000E226A">
              <w:rPr>
                <w:i w:val="0"/>
                <w:iCs w:val="0"/>
                <w:color w:val="auto"/>
                <w:sz w:val="16"/>
                <w:szCs w:val="16"/>
                <w:lang w:val="es-CO"/>
              </w:rPr>
              <w:t>Rigot</w:t>
            </w:r>
            <w:proofErr w:type="spellEnd"/>
            <w:r w:rsidRPr="000E226A">
              <w:rPr>
                <w:i w:val="0"/>
                <w:iCs w:val="0"/>
                <w:color w:val="auto"/>
                <w:sz w:val="16"/>
                <w:szCs w:val="16"/>
                <w:lang w:val="es-CO"/>
              </w:rPr>
              <w:t xml:space="preserve"> (2021); TCFD, (2017); </w:t>
            </w:r>
            <w:proofErr w:type="spellStart"/>
            <w:r w:rsidRPr="000E226A">
              <w:rPr>
                <w:i w:val="0"/>
                <w:iCs w:val="0"/>
                <w:color w:val="auto"/>
                <w:sz w:val="16"/>
                <w:szCs w:val="16"/>
                <w:lang w:val="es-CO"/>
              </w:rPr>
              <w:t>Buttini</w:t>
            </w:r>
            <w:proofErr w:type="spellEnd"/>
            <w:r w:rsidRPr="000E226A">
              <w:rPr>
                <w:i w:val="0"/>
                <w:iCs w:val="0"/>
                <w:color w:val="auto"/>
                <w:sz w:val="16"/>
                <w:szCs w:val="16"/>
                <w:lang w:val="es-CO"/>
              </w:rPr>
              <w:t xml:space="preserve"> et al. (2016)</w:t>
            </w:r>
          </w:p>
        </w:tc>
      </w:tr>
      <w:tr w:rsidR="00C52ECA" w:rsidRPr="000E226A" w14:paraId="344B31BF" w14:textId="77777777" w:rsidTr="00C52ECA">
        <w:trPr>
          <w:trHeight w:val="300"/>
          <w:tblCellSpacing w:w="0" w:type="dxa"/>
        </w:trPr>
        <w:tc>
          <w:tcPr>
            <w:tcW w:w="1041" w:type="dxa"/>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2087226" w14:textId="7E3B736A" w:rsidR="00C52ECA" w:rsidRPr="000E226A" w:rsidRDefault="00C52ECA" w:rsidP="00C52ECA">
            <w:pPr>
              <w:pStyle w:val="Descripcin"/>
              <w:rPr>
                <w:i w:val="0"/>
                <w:iCs w:val="0"/>
                <w:color w:val="auto"/>
                <w:sz w:val="16"/>
                <w:szCs w:val="16"/>
                <w:lang w:val="es-CO"/>
              </w:rPr>
            </w:pPr>
            <w:proofErr w:type="spellStart"/>
            <w:r>
              <w:rPr>
                <w:i w:val="0"/>
                <w:iCs w:val="0"/>
                <w:color w:val="auto"/>
                <w:sz w:val="16"/>
                <w:szCs w:val="16"/>
                <w:lang w:val="es-CO"/>
              </w:rPr>
              <w:t>Rrep</w:t>
            </w:r>
            <w:proofErr w:type="spellEnd"/>
            <w:r>
              <w:rPr>
                <w:i w:val="0"/>
                <w:iCs w:val="0"/>
                <w:color w:val="auto"/>
                <w:sz w:val="16"/>
                <w:szCs w:val="16"/>
                <w:lang w:val="es-CO"/>
              </w:rPr>
              <w:t xml:space="preserve"> 4</w:t>
            </w:r>
          </w:p>
        </w:tc>
        <w:tc>
          <w:tcPr>
            <w:tcW w:w="950" w:type="dxa"/>
            <w:tcBorders>
              <w:bottom w:val="single" w:sz="6" w:space="0" w:color="000000"/>
              <w:right w:val="single" w:sz="6" w:space="0" w:color="000000"/>
            </w:tcBorders>
            <w:tcMar>
              <w:top w:w="0" w:type="dxa"/>
              <w:left w:w="45" w:type="dxa"/>
              <w:bottom w:w="0" w:type="dxa"/>
              <w:right w:w="45" w:type="dxa"/>
            </w:tcMar>
            <w:vAlign w:val="center"/>
            <w:hideMark/>
          </w:tcPr>
          <w:p w14:paraId="190FCC36"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Reputacional</w:t>
            </w:r>
          </w:p>
        </w:tc>
        <w:tc>
          <w:tcPr>
            <w:tcW w:w="1332" w:type="dxa"/>
            <w:tcBorders>
              <w:bottom w:val="single" w:sz="6" w:space="0" w:color="000000"/>
              <w:right w:val="single" w:sz="6" w:space="0" w:color="000000"/>
            </w:tcBorders>
            <w:tcMar>
              <w:top w:w="0" w:type="dxa"/>
              <w:left w:w="45" w:type="dxa"/>
              <w:bottom w:w="0" w:type="dxa"/>
              <w:right w:w="45" w:type="dxa"/>
            </w:tcMar>
            <w:vAlign w:val="center"/>
            <w:hideMark/>
          </w:tcPr>
          <w:p w14:paraId="0E19F423"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 xml:space="preserve">Cambios en el sentimiento del mercado inducidos por la conciencia </w:t>
            </w:r>
            <w:r w:rsidRPr="000E226A">
              <w:rPr>
                <w:i w:val="0"/>
                <w:iCs w:val="0"/>
                <w:color w:val="auto"/>
                <w:sz w:val="16"/>
                <w:szCs w:val="16"/>
                <w:lang w:val="es-CO"/>
              </w:rPr>
              <w:lastRenderedPageBreak/>
              <w:t>de los riesgos climáticos futuros</w:t>
            </w:r>
          </w:p>
        </w:tc>
        <w:tc>
          <w:tcPr>
            <w:tcW w:w="3593" w:type="dxa"/>
            <w:tcBorders>
              <w:bottom w:val="single" w:sz="6" w:space="0" w:color="000000"/>
              <w:right w:val="single" w:sz="6" w:space="0" w:color="000000"/>
            </w:tcBorders>
            <w:tcMar>
              <w:top w:w="0" w:type="dxa"/>
              <w:left w:w="45" w:type="dxa"/>
              <w:bottom w:w="0" w:type="dxa"/>
              <w:right w:w="45" w:type="dxa"/>
            </w:tcMar>
            <w:vAlign w:val="center"/>
            <w:hideMark/>
          </w:tcPr>
          <w:p w14:paraId="14B795E5"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lastRenderedPageBreak/>
              <w:t>Cambios en el sentimiento y la conciencia de las personas de cara a los problemas climáticos que deparará el futuro si se sigue actuando bajo las condiciones actuales</w:t>
            </w:r>
          </w:p>
        </w:tc>
        <w:tc>
          <w:tcPr>
            <w:tcW w:w="2812" w:type="dxa"/>
            <w:tcBorders>
              <w:bottom w:val="single" w:sz="6" w:space="0" w:color="000000"/>
              <w:right w:val="single" w:sz="6" w:space="0" w:color="000000"/>
            </w:tcBorders>
            <w:tcMar>
              <w:top w:w="0" w:type="dxa"/>
              <w:left w:w="45" w:type="dxa"/>
              <w:bottom w:w="0" w:type="dxa"/>
              <w:right w:w="45" w:type="dxa"/>
            </w:tcMar>
            <w:vAlign w:val="center"/>
            <w:hideMark/>
          </w:tcPr>
          <w:p w14:paraId="61FE27FD"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1. Necesidad de las empresas en la diversificación de su portafolio</w:t>
            </w:r>
            <w:r w:rsidRPr="000E226A">
              <w:rPr>
                <w:i w:val="0"/>
                <w:iCs w:val="0"/>
                <w:color w:val="auto"/>
                <w:sz w:val="16"/>
                <w:szCs w:val="16"/>
                <w:lang w:val="es-CO"/>
              </w:rPr>
              <w:br/>
              <w:t>2. Grandes pérdidas en las ventas en cortos períodos de tiempo</w:t>
            </w:r>
          </w:p>
        </w:tc>
        <w:tc>
          <w:tcPr>
            <w:tcW w:w="3398" w:type="dxa"/>
            <w:tcBorders>
              <w:bottom w:val="single" w:sz="6" w:space="0" w:color="000000"/>
              <w:right w:val="single" w:sz="6" w:space="0" w:color="000000"/>
            </w:tcBorders>
            <w:tcMar>
              <w:top w:w="0" w:type="dxa"/>
              <w:left w:w="45" w:type="dxa"/>
              <w:bottom w:w="0" w:type="dxa"/>
              <w:right w:w="45" w:type="dxa"/>
            </w:tcMar>
            <w:vAlign w:val="center"/>
            <w:hideMark/>
          </w:tcPr>
          <w:p w14:paraId="6E50FEC8" w14:textId="77777777" w:rsidR="00C52ECA" w:rsidRPr="000E226A" w:rsidRDefault="00C52ECA" w:rsidP="00C52ECA">
            <w:pPr>
              <w:pStyle w:val="Descripcin"/>
              <w:ind w:firstLine="0"/>
              <w:rPr>
                <w:i w:val="0"/>
                <w:iCs w:val="0"/>
                <w:color w:val="auto"/>
                <w:sz w:val="16"/>
                <w:szCs w:val="16"/>
                <w:lang w:val="es-CO"/>
              </w:rPr>
            </w:pPr>
            <w:r w:rsidRPr="000E226A">
              <w:rPr>
                <w:i w:val="0"/>
                <w:iCs w:val="0"/>
                <w:color w:val="auto"/>
                <w:sz w:val="16"/>
                <w:szCs w:val="16"/>
                <w:lang w:val="es-CO"/>
              </w:rPr>
              <w:t>Kelly &amp; Reynolds (2016)</w:t>
            </w:r>
          </w:p>
        </w:tc>
      </w:tr>
    </w:tbl>
    <w:p w14:paraId="6472ADD6" w14:textId="0F219046" w:rsidR="004D533A" w:rsidRPr="004D533A" w:rsidRDefault="007028FC" w:rsidP="007028FC">
      <w:pPr>
        <w:pStyle w:val="Descripcin"/>
        <w:jc w:val="center"/>
        <w:rPr>
          <w:i w:val="0"/>
          <w:iCs w:val="0"/>
          <w:color w:val="000000" w:themeColor="text1"/>
          <w:sz w:val="16"/>
          <w:szCs w:val="16"/>
        </w:rPr>
      </w:pPr>
      <w:bookmarkStart w:id="32" w:name="_Toc134470841"/>
      <w:bookmarkStart w:id="33" w:name="_Ref149989018"/>
      <w:bookmarkStart w:id="34" w:name="_Ref149989025"/>
      <w:bookmarkStart w:id="35" w:name="_Ref149989082"/>
      <w:bookmarkStart w:id="36" w:name="_Hlk134363495"/>
      <w:r w:rsidRPr="007028FC">
        <w:rPr>
          <w:i w:val="0"/>
          <w:iCs w:val="0"/>
          <w:color w:val="000000" w:themeColor="text1"/>
          <w:sz w:val="16"/>
          <w:szCs w:val="16"/>
        </w:rPr>
        <w:t xml:space="preserve">Tabla </w:t>
      </w:r>
      <w:r w:rsidRPr="007028FC">
        <w:rPr>
          <w:i w:val="0"/>
          <w:iCs w:val="0"/>
          <w:color w:val="000000" w:themeColor="text1"/>
          <w:sz w:val="16"/>
          <w:szCs w:val="16"/>
        </w:rPr>
        <w:fldChar w:fldCharType="begin"/>
      </w:r>
      <w:r w:rsidRPr="007028FC">
        <w:rPr>
          <w:i w:val="0"/>
          <w:iCs w:val="0"/>
          <w:color w:val="000000" w:themeColor="text1"/>
          <w:sz w:val="16"/>
          <w:szCs w:val="16"/>
        </w:rPr>
        <w:instrText xml:space="preserve"> SEQ Tabla \* ARABIC </w:instrText>
      </w:r>
      <w:r w:rsidRPr="007028FC">
        <w:rPr>
          <w:i w:val="0"/>
          <w:iCs w:val="0"/>
          <w:color w:val="000000" w:themeColor="text1"/>
          <w:sz w:val="16"/>
          <w:szCs w:val="16"/>
        </w:rPr>
        <w:fldChar w:fldCharType="separate"/>
      </w:r>
      <w:r w:rsidR="00036BF0">
        <w:rPr>
          <w:i w:val="0"/>
          <w:iCs w:val="0"/>
          <w:noProof/>
          <w:color w:val="000000" w:themeColor="text1"/>
          <w:sz w:val="16"/>
          <w:szCs w:val="16"/>
        </w:rPr>
        <w:t>2</w:t>
      </w:r>
      <w:r w:rsidRPr="007028FC">
        <w:rPr>
          <w:i w:val="0"/>
          <w:iCs w:val="0"/>
          <w:color w:val="000000" w:themeColor="text1"/>
          <w:sz w:val="16"/>
          <w:szCs w:val="16"/>
        </w:rPr>
        <w:fldChar w:fldCharType="end"/>
      </w:r>
      <w:r w:rsidRPr="004D533A">
        <w:rPr>
          <w:i w:val="0"/>
          <w:iCs w:val="0"/>
          <w:color w:val="000000" w:themeColor="text1"/>
          <w:sz w:val="16"/>
          <w:szCs w:val="16"/>
        </w:rPr>
        <w:t>. Variables seleccionadas para investigación. Elaboración Propia</w:t>
      </w:r>
      <w:bookmarkEnd w:id="32"/>
      <w:bookmarkEnd w:id="33"/>
      <w:bookmarkEnd w:id="34"/>
      <w:bookmarkEnd w:id="35"/>
    </w:p>
    <w:bookmarkEnd w:id="36"/>
    <w:p w14:paraId="1EDC9163" w14:textId="43A10EE1" w:rsidR="00B425DB" w:rsidRPr="00386E51" w:rsidRDefault="00B425DB" w:rsidP="00B425DB">
      <w:pPr>
        <w:ind w:firstLine="0"/>
        <w:sectPr w:rsidR="00B425DB" w:rsidRPr="00386E51" w:rsidSect="001E28E3">
          <w:pgSz w:w="15842" w:h="12242" w:orient="landscape" w:code="1"/>
          <w:pgMar w:top="1418" w:right="1418" w:bottom="1418" w:left="1418" w:header="1134" w:footer="1134" w:gutter="0"/>
          <w:cols w:space="720"/>
          <w:docGrid w:linePitch="326"/>
        </w:sectPr>
      </w:pPr>
    </w:p>
    <w:p w14:paraId="1B3A9ED0" w14:textId="577D70B3" w:rsidR="00B425DB" w:rsidRDefault="00B425DB" w:rsidP="00B425DB">
      <w:pPr>
        <w:pStyle w:val="Ttulo3"/>
        <w:rPr>
          <w:lang w:val="es-CO"/>
        </w:rPr>
      </w:pPr>
      <w:bookmarkStart w:id="37" w:name="_Toc149994757"/>
      <w:r>
        <w:rPr>
          <w:lang w:val="es-CO"/>
        </w:rPr>
        <w:lastRenderedPageBreak/>
        <w:t>Selección de criterios</w:t>
      </w:r>
      <w:bookmarkEnd w:id="37"/>
    </w:p>
    <w:p w14:paraId="32EB4B55" w14:textId="0F757311" w:rsidR="00B425DB" w:rsidRDefault="00B425DB" w:rsidP="00A056C1">
      <w:pPr>
        <w:jc w:val="both"/>
        <w:rPr>
          <w:lang w:val="es-CO" w:eastAsia="es-ES"/>
        </w:rPr>
      </w:pPr>
      <w:r>
        <w:rPr>
          <w:lang w:val="es-CO" w:eastAsia="es-ES"/>
        </w:rPr>
        <w:t>Tras la preselección de las variables</w:t>
      </w:r>
      <w:r w:rsidR="00851771">
        <w:rPr>
          <w:lang w:val="es-CO" w:eastAsia="es-ES"/>
        </w:rPr>
        <w:t xml:space="preserve"> se realizó</w:t>
      </w:r>
      <w:r>
        <w:rPr>
          <w:lang w:val="es-CO" w:eastAsia="es-ES"/>
        </w:rPr>
        <w:t xml:space="preserve"> la selección de los criterios. El estudio realizado por </w:t>
      </w:r>
      <w:r>
        <w:rPr>
          <w:lang w:val="es-CO" w:eastAsia="es-ES"/>
        </w:rPr>
        <w:fldChar w:fldCharType="begin" w:fldLock="1"/>
      </w:r>
      <w:r w:rsidR="008F257A">
        <w:rPr>
          <w:lang w:val="es-CO" w:eastAsia="es-ES"/>
        </w:rPr>
        <w:instrText>ADDIN CSL_CITATION {"citationItems":[{"id":"ITEM-1","itemData":{"DOI":"10.1016/j.eswa.2012.08.013","abstract":"This study develops a framework to quantify the flood risk vulnerability in South Korea by considering climate change impacts. On the basis of the concept of exposure-sensitivity-adaptive capacity, 21 proxy variables are selected and screened, and their weights are determined for their objectivity by using the Delphi technique. The data from 16 provinces of South Korea and the weighting values of all proxy variables are fuzzified to consider uncertainty. In addition, the National Center for Atmosphere Research Community Climate System Model 3 (CCSM3) in conjunction with the Intergovernmental Panel on Climate Change (IPCC) Special Report on Emission Scenario (SRES) A1B, A2, B1, A1T, A1FI, and B2 are used for future climate data (2020s, 2050s, and 2080s). Therefore, 19 flood risk vulnerabilities of South Korea, including present conditions, are quantitatively evaluated and compared. Three Multi-Criteria Decision Making (MCDM) techniques-Weighted Sum Method (WSM), Technique for Order Preference by Similarity to Ideal Situation (TOPSIS), and fuzzy TOPSIS-are used to quantify all spatial vulnerabilities. As a result, some fuzzy TOPSIS rankings are quite different to those of WSM and TOPSIS, and the ranking patterns of the 19 climate change scenarios are also derived in a dissimilar way. In addition, if the variances of the provinces' rankings are considered, some provinces showing low values can plan their climate change adaptation strategies by taking into consideration their relatively certain rankings. In the end, the vulnerability assessment for climate change should consider not only various MCDM techniques but also the uncertainty of weighting values and proxy variable data.","author":[{"dropping-particle":"","family":"Jun","given":"Kyung-Soo","non-dropping-particle":"","parse-names":false,"suffix":""},{"dropping-particle":"","family":"Chung","given":"Eun-Sung","non-dropping-particle":"","parse-names":false,"suffix":""},{"dropping-particle":"","family":"Kim","given":"Young-Gyu","non-dropping-particle":"","parse-names":false,"suffix":""},{"dropping-particle":"","family":"Kim","given":"Yeonjoo","non-dropping-particle":"","parse-names":false,"suffix":""}],"id":"ITEM-1","issued":{"date-parts":[["0"]]},"title":"A fuzzy multi-criteria approach to flood risk vulnerability in South Korea by considering climate change impacts","type":"article-journal"},"uris":["http://www.mendeley.com/documents/?uuid=f7b5fd49-eda5-3703-8934-20f7b707e5b4"]}],"mendeley":{"formattedCitation":"(K.-S. Jun et al., n.d.)","manualFormatting":"K.-S. Jun et al. (n.d.)","plainTextFormattedCitation":"(K.-S. Jun et al., n.d.)","previouslyFormattedCitation":"(K.-S. Jun et al., n.d.)"},"properties":{"noteIndex":0},"schema":"https://github.com/citation-style-language/schema/raw/master/csl-citation.json"}</w:instrText>
      </w:r>
      <w:r>
        <w:rPr>
          <w:lang w:val="es-CO" w:eastAsia="es-ES"/>
        </w:rPr>
        <w:fldChar w:fldCharType="separate"/>
      </w:r>
      <w:r w:rsidRPr="00015203">
        <w:rPr>
          <w:noProof/>
          <w:lang w:val="es-CO" w:eastAsia="es-ES"/>
        </w:rPr>
        <w:t xml:space="preserve">K.-S. Jun et al. </w:t>
      </w:r>
      <w:r>
        <w:rPr>
          <w:noProof/>
          <w:lang w:val="es-CO" w:eastAsia="es-ES"/>
        </w:rPr>
        <w:t>(</w:t>
      </w:r>
      <w:r w:rsidRPr="00015203">
        <w:rPr>
          <w:noProof/>
          <w:lang w:val="es-CO" w:eastAsia="es-ES"/>
        </w:rPr>
        <w:t>n.d.)</w:t>
      </w:r>
      <w:r>
        <w:rPr>
          <w:lang w:val="es-CO" w:eastAsia="es-ES"/>
        </w:rPr>
        <w:fldChar w:fldCharType="end"/>
      </w:r>
      <w:r>
        <w:rPr>
          <w:lang w:val="es-CO" w:eastAsia="es-ES"/>
        </w:rPr>
        <w:t xml:space="preserve"> utiliza un total de 21 criterios agrupados en tres categorías: sensibilidad, capacidad adaptativa y resiliencia, y exposición. Otra aproximación es la que toman </w:t>
      </w:r>
      <w:r>
        <w:rPr>
          <w:lang w:val="es-CO" w:eastAsia="es-ES"/>
        </w:rPr>
        <w:fldChar w:fldCharType="begin" w:fldLock="1"/>
      </w:r>
      <w:r w:rsidR="001F57C8">
        <w:rPr>
          <w:lang w:val="es-CO" w:eastAsia="es-ES"/>
        </w:rPr>
        <w:instrText>ADDIN CSL_CITATION {"citationItems":[{"id":"ITEM-1","itemData":{"DOI":"10.1016/j.energy.2020.117675","abstract":"Selection of the most appropriate waste-to-energy technologies for distributed electricity generation is a complex and multi-criteria decision problem as it involves trade-off among conflicting criteria which have to be considered simultaneously. In this study, the Technique for Order of Preference by Similarity to an Ideal Solution (TOPSIS) with Entropy Weighted method is applied to select the optimal technology among the waste-to-energy technological options using the waste stream of Lagos, Nigeria. The results presented show that anaerobic digestion has been the best waste to energy technology solution for electricity generation in Lagos, followed by pyrolysis while incineration is seen as the worst preferred option of choice for energy generation applicability in standalone model. In order to maximally extract energy from waste in a sustainable, economical, and environmentally friendly manner, an integrated application of waste-to-energy technologies is also explored. It is found that the hybrid of anaerobic digestion, landfill gas recovery and pyrolysis give the most favourable results in terms of environmental benefits and electricity generation potential. It is also revealed that incineration technology either in the standalone or in the hybrid form is completely discouraged from being implemented in Lagos basically due to its high investment, operation and maintenance costs as well as its discouraging environmental image. Although, the case study in this paper is that of Lagos, Nigeria but the methodology presented could be used for any cosmopolitan city around the world.","author":[{"dropping-particle":"","family":"Alao","given":"M A","non-dropping-particle":"","parse-names":false,"suffix":""},{"dropping-particle":"","family":"Ayodele","given":"T R","non-dropping-particle":"","parse-names":false,"suffix":""},{"dropping-particle":"","family":"Ogunjuyigbe","given":"A S O","non-dropping-particle":"","parse-names":false,"suffix":""},{"dropping-particle":"","family":"Popoola","given":"O M","non-dropping-particle":"","parse-names":false,"suffix":""}],"id":"ITEM-1","issued":{"date-parts":[["2020"]]},"title":"Multi-criteria decision based waste to energy technology selection using entropy-weighted TOPSIS technique: The case study of Lagos, Nigeria","type":"article-journal"},"uris":["http://www.mendeley.com/documents/?uuid=9989dc44-1023-3cde-a16b-59a941281f70"]}],"mendeley":{"formattedCitation":"(Alao et al., 2020)","manualFormatting":"Alao, Ayodele, Ogunjuyigbe, &amp; Popoola (2020)","plainTextFormattedCitation":"(Alao et al., 2020)","previouslyFormattedCitation":"(Alao et al., 2020)"},"properties":{"noteIndex":0},"schema":"https://github.com/citation-style-language/schema/raw/master/csl-citation.json"}</w:instrText>
      </w:r>
      <w:r>
        <w:rPr>
          <w:lang w:val="es-CO" w:eastAsia="es-ES"/>
        </w:rPr>
        <w:fldChar w:fldCharType="separate"/>
      </w:r>
      <w:r w:rsidRPr="0091250D">
        <w:rPr>
          <w:noProof/>
          <w:lang w:val="es-CO" w:eastAsia="es-ES"/>
        </w:rPr>
        <w:t xml:space="preserve">Alao, Ayodele, Ogunjuyigbe, &amp; Popoola </w:t>
      </w:r>
      <w:r>
        <w:rPr>
          <w:noProof/>
          <w:lang w:val="es-CO" w:eastAsia="es-ES"/>
        </w:rPr>
        <w:t>(</w:t>
      </w:r>
      <w:r w:rsidRPr="0091250D">
        <w:rPr>
          <w:noProof/>
          <w:lang w:val="es-CO" w:eastAsia="es-ES"/>
        </w:rPr>
        <w:t>2020)</w:t>
      </w:r>
      <w:r>
        <w:rPr>
          <w:lang w:val="es-CO" w:eastAsia="es-ES"/>
        </w:rPr>
        <w:fldChar w:fldCharType="end"/>
      </w:r>
      <w:r>
        <w:rPr>
          <w:lang w:val="es-CO" w:eastAsia="es-ES"/>
        </w:rPr>
        <w:t xml:space="preserve"> en donde seleccionan la mejor alternativa tecnológica en cuanto a eficiencia, teniendo en cuenta como criterios el aspecto técnico (consumo de energía), el impacto económico y el aspecto ambiental (cantidad de emisión de CO2). </w:t>
      </w:r>
    </w:p>
    <w:p w14:paraId="07B5D772" w14:textId="13371C4C" w:rsidR="00B425DB" w:rsidRDefault="00B425DB" w:rsidP="00A056C1">
      <w:pPr>
        <w:jc w:val="both"/>
        <w:rPr>
          <w:lang w:val="es-CO" w:eastAsia="es-ES"/>
        </w:rPr>
      </w:pPr>
      <w:r>
        <w:rPr>
          <w:lang w:val="es-CO" w:eastAsia="es-ES"/>
        </w:rPr>
        <w:t>Sin embargo, a pesar de que la sensibilidad, capacidad adaptativa</w:t>
      </w:r>
      <w:r w:rsidR="008F247F">
        <w:rPr>
          <w:lang w:val="es-CO" w:eastAsia="es-ES"/>
        </w:rPr>
        <w:t xml:space="preserve"> (resiliencia)</w:t>
      </w:r>
      <w:r>
        <w:rPr>
          <w:lang w:val="es-CO" w:eastAsia="es-ES"/>
        </w:rPr>
        <w:t>, y exposición, parecen ser unos criterios aceptados cuando se trata de cambio climático para medir la vulnerabilidad de una institución</w:t>
      </w:r>
      <w:r w:rsidR="00851771">
        <w:rPr>
          <w:lang w:val="es-CO" w:eastAsia="es-ES"/>
        </w:rPr>
        <w:t xml:space="preserve">, </w:t>
      </w:r>
      <w:r>
        <w:rPr>
          <w:lang w:val="es-CO" w:eastAsia="es-ES"/>
        </w:rPr>
        <w:t>comunidad</w:t>
      </w:r>
      <w:r w:rsidR="00851771">
        <w:rPr>
          <w:lang w:val="es-CO" w:eastAsia="es-ES"/>
        </w:rPr>
        <w:t xml:space="preserve">, </w:t>
      </w:r>
      <w:r>
        <w:rPr>
          <w:lang w:val="es-CO" w:eastAsia="es-ES"/>
        </w:rPr>
        <w:t xml:space="preserve">país </w:t>
      </w:r>
      <w:r>
        <w:rPr>
          <w:lang w:val="es-CO" w:eastAsia="es-ES"/>
        </w:rPr>
        <w:fldChar w:fldCharType="begin" w:fldLock="1"/>
      </w:r>
      <w:r w:rsidR="008774A4">
        <w:rPr>
          <w:lang w:val="es-CO" w:eastAsia="es-ES"/>
        </w:rPr>
        <w:instrText>ADDIN CSL_CITATION {"citationItems":[{"id":"ITEM-1","itemData":{"ISBN":"9789291693436","author":[{"dropping-particle":"","family":"IPCC","given":"","non-dropping-particle":"","parse-names":false,"suffix":""}],"id":"ITEM-1","issued":{"date-parts":[["2014"]]},"title":"Cambio climático 2014 Equipo principal de redacción Equipo principal de redacción Unidad de apoyo técnico para el Informe de síntesis","type":"article-journal"},"uris":["http://www.mendeley.com/documents/?uuid=b936aeb5-e121-3309-8650-6cf749b59a02"]}],"mendeley":{"formattedCitation":"(IPCC, 2014)","plainTextFormattedCitation":"(IPCC, 2014)","previouslyFormattedCitation":"(IPCC, 2014)"},"properties":{"noteIndex":0},"schema":"https://github.com/citation-style-language/schema/raw/master/csl-citation.json"}</w:instrText>
      </w:r>
      <w:r>
        <w:rPr>
          <w:lang w:val="es-CO" w:eastAsia="es-ES"/>
        </w:rPr>
        <w:fldChar w:fldCharType="separate"/>
      </w:r>
      <w:r w:rsidR="00445317" w:rsidRPr="00445317">
        <w:rPr>
          <w:noProof/>
          <w:lang w:val="es-CO" w:eastAsia="es-ES"/>
        </w:rPr>
        <w:t>(IPCC, 2014)</w:t>
      </w:r>
      <w:r>
        <w:rPr>
          <w:lang w:val="es-CO" w:eastAsia="es-ES"/>
        </w:rPr>
        <w:fldChar w:fldCharType="end"/>
      </w:r>
      <w:r w:rsidR="0074298A">
        <w:rPr>
          <w:lang w:val="es-CO" w:eastAsia="es-ES"/>
        </w:rPr>
        <w:t xml:space="preserve">, en las matrices de riesgo se suelen utilizar únicamente probabilidad e impacto </w:t>
      </w:r>
      <w:r w:rsidR="0074298A">
        <w:rPr>
          <w:lang w:val="es-CO" w:eastAsia="es-ES"/>
        </w:rPr>
        <w:fldChar w:fldCharType="begin" w:fldLock="1"/>
      </w:r>
      <w:r w:rsidR="00837846">
        <w:rPr>
          <w:lang w:val="es-CO" w:eastAsia="es-ES"/>
        </w:rPr>
        <w:instrText>ADDIN CSL_CITATION {"citationItems":[{"id":"ITEM-1","itemData":{"ISBN":"9788490225370","author":[{"dropping-particle":"","family":"Argos","given":"","non-dropping-particle":"","parse-names":false,"suffix":""}],"id":"ITEM-1","issued":{"date-parts":[["2021"]]},"title":"climate change risks and opportunities based on TCFD recommendations","type":"article-journal"},"uris":["http://www.mendeley.com/documents/?uuid=0697886f-5ba5-43dc-8b90-27f6372df6a2"]}],"mendeley":{"formattedCitation":"(Argos, 2021)","plainTextFormattedCitation":"(Argos, 2021)","previouslyFormattedCitation":"(Argos, 2021)"},"properties":{"noteIndex":0},"schema":"https://github.com/citation-style-language/schema/raw/master/csl-citation.json"}</w:instrText>
      </w:r>
      <w:r w:rsidR="0074298A">
        <w:rPr>
          <w:lang w:val="es-CO" w:eastAsia="es-ES"/>
        </w:rPr>
        <w:fldChar w:fldCharType="separate"/>
      </w:r>
      <w:r w:rsidR="0074298A" w:rsidRPr="0074298A">
        <w:rPr>
          <w:noProof/>
          <w:lang w:val="es-CO" w:eastAsia="es-ES"/>
        </w:rPr>
        <w:t>(Argos, 2021)</w:t>
      </w:r>
      <w:r w:rsidR="0074298A">
        <w:rPr>
          <w:lang w:val="es-CO" w:eastAsia="es-ES"/>
        </w:rPr>
        <w:fldChar w:fldCharType="end"/>
      </w:r>
      <w:r w:rsidR="0074298A">
        <w:rPr>
          <w:lang w:val="es-CO" w:eastAsia="es-ES"/>
        </w:rPr>
        <w:t>.</w:t>
      </w:r>
    </w:p>
    <w:p w14:paraId="6616E28A" w14:textId="7FC6CFAE" w:rsidR="00B425DB" w:rsidRDefault="00B425DB" w:rsidP="00A056C1">
      <w:pPr>
        <w:jc w:val="both"/>
        <w:rPr>
          <w:lang w:val="es-CO" w:eastAsia="es-ES"/>
        </w:rPr>
      </w:pPr>
      <w:r>
        <w:rPr>
          <w:lang w:val="es-CO" w:eastAsia="es-ES"/>
        </w:rPr>
        <w:t xml:space="preserve">Por lo tanto, con el propósito de construir una herramienta lo más </w:t>
      </w:r>
      <w:r w:rsidR="00851771">
        <w:rPr>
          <w:lang w:val="es-CO" w:eastAsia="es-ES"/>
        </w:rPr>
        <w:t>estándar</w:t>
      </w:r>
      <w:r>
        <w:rPr>
          <w:lang w:val="es-CO" w:eastAsia="es-ES"/>
        </w:rPr>
        <w:t xml:space="preserve"> posible, se </w:t>
      </w:r>
      <w:r w:rsidR="00851771">
        <w:rPr>
          <w:lang w:val="es-CO" w:eastAsia="es-ES"/>
        </w:rPr>
        <w:t>tuvo en cuenta</w:t>
      </w:r>
      <w:r>
        <w:rPr>
          <w:lang w:val="es-CO" w:eastAsia="es-ES"/>
        </w:rPr>
        <w:t xml:space="preserve"> la probabilidad y el impacto como los criterios que se aplicaron a los diferentes riesgos seleccionados. Sin embargo, se obtuvo de igual manera información relacionada con la sensibilidad, la exposición y la </w:t>
      </w:r>
      <w:r w:rsidR="008F247F">
        <w:rPr>
          <w:lang w:val="es-CO" w:eastAsia="es-ES"/>
        </w:rPr>
        <w:t>resiliencia a</w:t>
      </w:r>
      <w:r>
        <w:rPr>
          <w:lang w:val="es-CO" w:eastAsia="es-ES"/>
        </w:rPr>
        <w:t xml:space="preserve"> estos riesgos, para obtener información más completa que ayudó a sustentar la clasificación de los riesgos, y permitió un análisis posterior más detallado</w:t>
      </w:r>
      <w:r w:rsidR="00105002">
        <w:rPr>
          <w:lang w:val="es-CO" w:eastAsia="es-ES"/>
        </w:rPr>
        <w:t xml:space="preserve">, el cual se aborda en el análisis del performance empleando </w:t>
      </w:r>
      <w:r w:rsidR="008F247F">
        <w:rPr>
          <w:lang w:val="es-CO" w:eastAsia="es-ES"/>
        </w:rPr>
        <w:t>TOPSIS</w:t>
      </w:r>
      <w:r>
        <w:rPr>
          <w:lang w:val="es-CO" w:eastAsia="es-ES"/>
        </w:rPr>
        <w:t>.</w:t>
      </w:r>
    </w:p>
    <w:p w14:paraId="16FDB5D5" w14:textId="77777777" w:rsidR="00B425DB" w:rsidRDefault="00B425DB" w:rsidP="00A056C1">
      <w:pPr>
        <w:jc w:val="both"/>
        <w:rPr>
          <w:lang w:val="es-CO" w:eastAsia="es-ES"/>
        </w:rPr>
      </w:pPr>
      <w:r>
        <w:rPr>
          <w:lang w:val="es-CO" w:eastAsia="es-ES"/>
        </w:rPr>
        <w:t xml:space="preserve">Bajo este contexto, según la </w:t>
      </w:r>
      <w:r w:rsidRPr="00C66B09">
        <w:rPr>
          <w:lang w:val="es-CO" w:eastAsia="es-ES"/>
        </w:rPr>
        <w:t>ISO 31000:2018</w:t>
      </w:r>
      <w:r>
        <w:rPr>
          <w:lang w:val="es-CO" w:eastAsia="es-ES"/>
        </w:rPr>
        <w:t xml:space="preserve">, la probabilidad, vista desde un punto de vista de gestión de riesgo, es la posibilidad de que algo suceda, y que esta posibilidad sea medible de manera objetiva o subjetivamente, permitiendo así análisis matemáticos y estadísticos de la ocurrencia de </w:t>
      </w:r>
      <w:r>
        <w:rPr>
          <w:lang w:val="es-CO" w:eastAsia="es-ES"/>
        </w:rPr>
        <w:lastRenderedPageBreak/>
        <w:t xml:space="preserve">este evento. De igual forma, bajo la definición de la </w:t>
      </w:r>
      <w:r w:rsidRPr="005F2B2B">
        <w:rPr>
          <w:lang w:val="es-CO" w:eastAsia="es-ES"/>
        </w:rPr>
        <w:t>ISO 14091:2021</w:t>
      </w:r>
      <w:r>
        <w:rPr>
          <w:lang w:val="es-CO" w:eastAsia="es-ES"/>
        </w:rPr>
        <w:t xml:space="preserve">, el impacto, definido en un contexto climático se refiere a los efectos que un evento causa sobre los sistemas naturales y humanos. Si se considera esta definición bajo el enfoque específico de este proyecto, debe entenderse al impacto como los efectos indirectos de estos eventos naturales, ya que se trata de riesgos climáticos de transición. </w:t>
      </w:r>
    </w:p>
    <w:p w14:paraId="1E355CDC" w14:textId="78B9B357" w:rsidR="00B425DB" w:rsidRDefault="00B425DB" w:rsidP="00A056C1">
      <w:pPr>
        <w:jc w:val="both"/>
        <w:rPr>
          <w:lang w:val="es-CO" w:eastAsia="es-ES"/>
        </w:rPr>
      </w:pPr>
      <w:r>
        <w:rPr>
          <w:lang w:val="es-CO" w:eastAsia="es-ES"/>
        </w:rPr>
        <w:t xml:space="preserve">De igual forma, deben definirse los otros criterios para el correcto entendimiento del análisis. La sensibilidad hace referencia al nivel de impacto, ya sea positivo o negativo, que un evento climático genera sobre el sujeto de estudio. La exposición hace referencia </w:t>
      </w:r>
      <w:r w:rsidRPr="00F85060">
        <w:rPr>
          <w:lang w:val="es-CO" w:eastAsia="es-ES"/>
        </w:rPr>
        <w:t>al tipo y grado, o naturaleza, a la que un sistema está expuesto a variaciones climáticas significativas.</w:t>
      </w:r>
      <w:r>
        <w:rPr>
          <w:lang w:val="es-CO" w:eastAsia="es-ES"/>
        </w:rPr>
        <w:t xml:space="preserve"> Por último la capacidad adaptativa y resiliencia hace referencia a las capacidades, herramientas y procesos que tiene a la mano una institución para realizar una adaptabilidad con respecto al evento de riesgo </w:t>
      </w:r>
      <w:r>
        <w:rPr>
          <w:lang w:val="es-CO" w:eastAsia="es-ES"/>
        </w:rPr>
        <w:fldChar w:fldCharType="begin" w:fldLock="1"/>
      </w:r>
      <w:r w:rsidR="008774A4">
        <w:rPr>
          <w:lang w:val="es-CO" w:eastAsia="es-ES"/>
        </w:rPr>
        <w:instrText>ADDIN CSL_CITATION {"citationItems":[{"id":"ITEM-1","itemData":{"ISBN":"9789291693436","author":[{"dropping-particle":"","family":"IPCC","given":"","non-dropping-particle":"","parse-names":false,"suffix":""}],"id":"ITEM-1","issued":{"date-parts":[["2014"]]},"title":"Cambio climático 2014 Equipo principal de redacción Equipo principal de redacción Unidad de apoyo técnico para el Informe de síntesis","type":"article-journal"},"uris":["http://www.mendeley.com/documents/?uuid=b936aeb5-e121-3309-8650-6cf749b59a02"]}],"mendeley":{"formattedCitation":"(IPCC, 2014)","plainTextFormattedCitation":"(IPCC, 2014)","previouslyFormattedCitation":"(IPCC, 2014)"},"properties":{"noteIndex":0},"schema":"https://github.com/citation-style-language/schema/raw/master/csl-citation.json"}</w:instrText>
      </w:r>
      <w:r>
        <w:rPr>
          <w:lang w:val="es-CO" w:eastAsia="es-ES"/>
        </w:rPr>
        <w:fldChar w:fldCharType="separate"/>
      </w:r>
      <w:r w:rsidR="00445317" w:rsidRPr="00445317">
        <w:rPr>
          <w:noProof/>
          <w:lang w:val="es-CO" w:eastAsia="es-ES"/>
        </w:rPr>
        <w:t>(IPCC, 2014)</w:t>
      </w:r>
      <w:r>
        <w:rPr>
          <w:lang w:val="es-CO" w:eastAsia="es-ES"/>
        </w:rPr>
        <w:fldChar w:fldCharType="end"/>
      </w:r>
      <w:r>
        <w:rPr>
          <w:lang w:val="es-CO" w:eastAsia="es-ES"/>
        </w:rPr>
        <w:t>.</w:t>
      </w:r>
    </w:p>
    <w:p w14:paraId="1E641D97" w14:textId="57BBFDA5" w:rsidR="00386E51" w:rsidRDefault="00386E51" w:rsidP="00386E51">
      <w:pPr>
        <w:pStyle w:val="Ttulo3"/>
        <w:rPr>
          <w:lang w:val="es-CO"/>
        </w:rPr>
      </w:pPr>
      <w:bookmarkStart w:id="38" w:name="_Toc149994758"/>
      <w:r>
        <w:rPr>
          <w:lang w:val="es-CO"/>
        </w:rPr>
        <w:t>Validación de expertos</w:t>
      </w:r>
      <w:bookmarkEnd w:id="38"/>
    </w:p>
    <w:p w14:paraId="01CFE102" w14:textId="17B7636D" w:rsidR="00386E51" w:rsidRDefault="00386E51" w:rsidP="00A056C1">
      <w:pPr>
        <w:jc w:val="both"/>
        <w:rPr>
          <w:lang w:val="es-CO" w:eastAsia="es-ES"/>
        </w:rPr>
      </w:pPr>
      <w:r>
        <w:rPr>
          <w:lang w:val="es-CO" w:eastAsia="es-ES"/>
        </w:rPr>
        <w:t>Una vez seleccionadas las variables y los criterios, se realizó la validación con los expertos. Para este punto se desarrolló una encuesta en la que se pregunta a los expertos su opinión acerca de los riesgos seleccionados con respecto a los criterios establecidos. Primordialmente con este punto se busca obtener información valiosa como entrada para el algoritmo de lógica difusa. En este sentido se preguntó a los expertos cómo consideran según su conocimiento el comportamiento de los riesgos con respecto tanto a la probabilidad, como al impacto</w:t>
      </w:r>
      <w:r w:rsidR="00B425DB">
        <w:rPr>
          <w:lang w:val="es-CO" w:eastAsia="es-ES"/>
        </w:rPr>
        <w:t>, y adicionalmente se preguntó por los demás criterios auxiliares descritos anteriormente (sensibilidad, exposición y resiliencia)</w:t>
      </w:r>
      <w:r>
        <w:rPr>
          <w:lang w:val="es-CO" w:eastAsia="es-ES"/>
        </w:rPr>
        <w:t>.</w:t>
      </w:r>
    </w:p>
    <w:p w14:paraId="1EF7B137" w14:textId="4AFBF74F" w:rsidR="00386E51" w:rsidRDefault="00386E51" w:rsidP="00A056C1">
      <w:pPr>
        <w:jc w:val="both"/>
        <w:rPr>
          <w:lang w:val="es-CO" w:eastAsia="es-ES"/>
        </w:rPr>
      </w:pPr>
      <w:r>
        <w:rPr>
          <w:lang w:val="es-CO" w:eastAsia="es-ES"/>
        </w:rPr>
        <w:lastRenderedPageBreak/>
        <w:t>De igual forma, para comprender la importancia y el peso de los criterios en la definición de los riesgos, se preguntó a los expertos con respecto a la importancia que consideran que tiene cada uno de los criterios a la hora de definir el riesgo inherente a un evento climático de transición.</w:t>
      </w:r>
    </w:p>
    <w:p w14:paraId="0A3B674C" w14:textId="0CB1801C" w:rsidR="00127D7A" w:rsidRDefault="00386E51" w:rsidP="00A056C1">
      <w:pPr>
        <w:jc w:val="both"/>
        <w:rPr>
          <w:lang w:val="es-CO" w:eastAsia="es-ES"/>
        </w:rPr>
      </w:pPr>
      <w:r>
        <w:rPr>
          <w:lang w:val="es-CO" w:eastAsia="es-ES"/>
        </w:rPr>
        <w:t xml:space="preserve">La consulta se construyó de la siguiente manera: se crearon </w:t>
      </w:r>
      <w:r w:rsidR="00CB6530">
        <w:rPr>
          <w:lang w:val="es-CO" w:eastAsia="es-ES"/>
        </w:rPr>
        <w:t>6</w:t>
      </w:r>
      <w:r>
        <w:rPr>
          <w:lang w:val="es-CO" w:eastAsia="es-ES"/>
        </w:rPr>
        <w:t xml:space="preserve"> secciones en el formulario. Una sección inicial donde se obtuvo la información concerniente a los criterios, cuatro secciones donde se obtuvo la información específica de cada una de las categorías de los riesgos climáticos de transición</w:t>
      </w:r>
      <w:r w:rsidR="00015013">
        <w:rPr>
          <w:lang w:val="es-CO" w:eastAsia="es-ES"/>
        </w:rPr>
        <w:t xml:space="preserve">. </w:t>
      </w:r>
      <w:r w:rsidR="00127D7A">
        <w:rPr>
          <w:lang w:val="es-CO" w:eastAsia="es-ES"/>
        </w:rPr>
        <w:t>De esta forma fue posible posteriormente obtener un performance de cada uno de los riesgos, para determinar y corroborar el funcionamiento de la herramienta de lógica difusa.</w:t>
      </w:r>
    </w:p>
    <w:p w14:paraId="1F565A42" w14:textId="1C27D8D6" w:rsidR="00386E51" w:rsidRDefault="00127D7A" w:rsidP="00A056C1">
      <w:pPr>
        <w:ind w:firstLine="0"/>
        <w:jc w:val="both"/>
        <w:rPr>
          <w:lang w:val="es-CO" w:eastAsia="es-ES"/>
        </w:rPr>
      </w:pPr>
      <w:r>
        <w:rPr>
          <w:lang w:val="es-CO" w:eastAsia="es-ES"/>
        </w:rPr>
        <w:t xml:space="preserve">Adicionalmente, dentro de la encuesta se creó una sección destinada para obtener información acerca de las reglas difusas. En esta parte se pidió a los expertos que determinaran que nivel de riesgo debería tener un hecho con diferentes magnitudes de probabilidad e impacto. Las respuestas posteriormente permitieron </w:t>
      </w:r>
      <w:r w:rsidR="005856FF">
        <w:rPr>
          <w:lang w:val="es-CO" w:eastAsia="es-ES"/>
        </w:rPr>
        <w:t>generar la matriz de riesgos, al combinar cada una de las magnitudes de las dos variables, se determinó un riesgo asociado a cada combinación</w:t>
      </w:r>
      <w:r w:rsidR="00C10F14">
        <w:rPr>
          <w:lang w:val="es-CO" w:eastAsia="es-ES"/>
        </w:rPr>
        <w:t xml:space="preserve"> (</w:t>
      </w:r>
      <w:r w:rsidR="00C10F14" w:rsidRPr="00552981">
        <w:rPr>
          <w:lang w:val="es-CO" w:eastAsia="es-ES"/>
        </w:rPr>
        <w:t xml:space="preserve">ver anexo </w:t>
      </w:r>
      <w:r w:rsidR="00552981" w:rsidRPr="00552981">
        <w:rPr>
          <w:lang w:val="es-CO" w:eastAsia="es-ES"/>
        </w:rPr>
        <w:t>2</w:t>
      </w:r>
      <w:r w:rsidR="00C10F14" w:rsidRPr="00552981">
        <w:rPr>
          <w:lang w:val="es-CO" w:eastAsia="es-ES"/>
        </w:rPr>
        <w:t>)</w:t>
      </w:r>
      <w:r w:rsidR="005856FF" w:rsidRPr="00552981">
        <w:rPr>
          <w:lang w:val="es-CO" w:eastAsia="es-ES"/>
        </w:rPr>
        <w:t>.</w:t>
      </w:r>
    </w:p>
    <w:p w14:paraId="4ED16733" w14:textId="59FC1E15" w:rsidR="00386E51" w:rsidRDefault="00105002" w:rsidP="00386E51">
      <w:pPr>
        <w:pStyle w:val="Ttulo3"/>
        <w:rPr>
          <w:lang w:val="es-CO"/>
        </w:rPr>
      </w:pPr>
      <w:bookmarkStart w:id="39" w:name="_Toc149994759"/>
      <w:r>
        <w:rPr>
          <w:lang w:val="es-CO"/>
        </w:rPr>
        <w:t xml:space="preserve">Análisis de </w:t>
      </w:r>
      <w:r w:rsidR="005B7A0F">
        <w:rPr>
          <w:lang w:val="es-CO"/>
        </w:rPr>
        <w:t>rendimiento</w:t>
      </w:r>
      <w:r>
        <w:rPr>
          <w:lang w:val="es-CO"/>
        </w:rPr>
        <w:t xml:space="preserve"> de riesgos climáticos a través de TOPSIS</w:t>
      </w:r>
      <w:bookmarkEnd w:id="39"/>
    </w:p>
    <w:p w14:paraId="1D037B62" w14:textId="29ACDDF9" w:rsidR="00127D7A" w:rsidRDefault="00386E51" w:rsidP="00A056C1">
      <w:pPr>
        <w:jc w:val="both"/>
        <w:rPr>
          <w:lang w:val="es-CO" w:eastAsia="es-ES"/>
        </w:rPr>
      </w:pPr>
      <w:r>
        <w:rPr>
          <w:lang w:val="es-CO" w:eastAsia="es-ES"/>
        </w:rPr>
        <w:t xml:space="preserve">Luego de obtener las respuestas de los expertos, </w:t>
      </w:r>
      <w:r w:rsidR="00C10F14">
        <w:rPr>
          <w:lang w:val="es-CO" w:eastAsia="es-ES"/>
        </w:rPr>
        <w:t xml:space="preserve">fue </w:t>
      </w:r>
      <w:r w:rsidR="00B425DB">
        <w:rPr>
          <w:lang w:val="es-CO" w:eastAsia="es-ES"/>
        </w:rPr>
        <w:t>posible realizar un análisis cualitativo de la información, y sacar algunas conclusiones</w:t>
      </w:r>
      <w:r w:rsidR="00552981">
        <w:rPr>
          <w:lang w:val="es-CO" w:eastAsia="es-ES"/>
        </w:rPr>
        <w:t xml:space="preserve">. </w:t>
      </w:r>
      <w:r w:rsidR="00127D7A">
        <w:rPr>
          <w:lang w:val="es-CO" w:eastAsia="es-ES"/>
        </w:rPr>
        <w:t>El primer análisis es la ponderación que los expertos dieron a cada uno de los criterios seleccionados</w:t>
      </w:r>
      <w:r w:rsidR="005856FF">
        <w:rPr>
          <w:lang w:val="es-CO" w:eastAsia="es-ES"/>
        </w:rPr>
        <w:t>. El criterio m</w:t>
      </w:r>
      <w:r w:rsidR="00C10F14">
        <w:rPr>
          <w:lang w:val="es-CO" w:eastAsia="es-ES"/>
        </w:rPr>
        <w:t>á</w:t>
      </w:r>
      <w:r w:rsidR="005856FF">
        <w:rPr>
          <w:lang w:val="es-CO" w:eastAsia="es-ES"/>
        </w:rPr>
        <w:t xml:space="preserve">s representativo de todos fue el impacto, que según el sistema de puntos utilizado obtuvo un peso de 0.25. Asumiendo que todos los criterios tuvieran igual importancia, todos los pesos debieron haber tenido un valor de 0.2. Una diferencia de 0.05 con respecto a la media es suficiente para dejar claro que el impacto es el criterio </w:t>
      </w:r>
      <w:r w:rsidR="005856FF">
        <w:rPr>
          <w:lang w:val="es-CO" w:eastAsia="es-ES"/>
        </w:rPr>
        <w:lastRenderedPageBreak/>
        <w:t>m</w:t>
      </w:r>
      <w:r w:rsidR="005B7A0F">
        <w:rPr>
          <w:lang w:val="es-CO" w:eastAsia="es-ES"/>
        </w:rPr>
        <w:t>á</w:t>
      </w:r>
      <w:r w:rsidR="005856FF">
        <w:rPr>
          <w:lang w:val="es-CO" w:eastAsia="es-ES"/>
        </w:rPr>
        <w:t>s importante cuando se va a determinar la magnitud de un riesgo.</w:t>
      </w:r>
      <w:r w:rsidR="00591422">
        <w:rPr>
          <w:lang w:val="es-CO" w:eastAsia="es-ES"/>
        </w:rPr>
        <w:t xml:space="preserve"> A continuación, se podrán ver los criterios con sus respectivos pesos: </w:t>
      </w:r>
    </w:p>
    <w:tbl>
      <w:tblPr>
        <w:tblW w:w="2728" w:type="dxa"/>
        <w:jc w:val="center"/>
        <w:tblCellMar>
          <w:left w:w="70" w:type="dxa"/>
          <w:right w:w="70" w:type="dxa"/>
        </w:tblCellMar>
        <w:tblLook w:val="04A0" w:firstRow="1" w:lastRow="0" w:firstColumn="1" w:lastColumn="0" w:noHBand="0" w:noVBand="1"/>
      </w:tblPr>
      <w:tblGrid>
        <w:gridCol w:w="1528"/>
        <w:gridCol w:w="1200"/>
      </w:tblGrid>
      <w:tr w:rsidR="00591422" w:rsidRPr="00591422" w14:paraId="40F57A2A" w14:textId="77777777" w:rsidTr="00591422">
        <w:trPr>
          <w:trHeight w:val="290"/>
          <w:jc w:val="center"/>
        </w:trPr>
        <w:tc>
          <w:tcPr>
            <w:tcW w:w="1528" w:type="dxa"/>
            <w:tcBorders>
              <w:top w:val="single" w:sz="8" w:space="0" w:color="auto"/>
              <w:left w:val="single" w:sz="8" w:space="0" w:color="auto"/>
              <w:bottom w:val="single" w:sz="4" w:space="0" w:color="auto"/>
              <w:right w:val="single" w:sz="4" w:space="0" w:color="auto"/>
            </w:tcBorders>
            <w:shd w:val="clear" w:color="000000" w:fill="B4C6E7"/>
            <w:noWrap/>
            <w:vAlign w:val="bottom"/>
            <w:hideMark/>
          </w:tcPr>
          <w:p w14:paraId="4DF0B04C" w14:textId="77777777" w:rsidR="00591422" w:rsidRPr="00591422" w:rsidRDefault="00591422" w:rsidP="00591422">
            <w:pPr>
              <w:spacing w:before="0" w:line="240" w:lineRule="auto"/>
              <w:ind w:firstLine="0"/>
              <w:rPr>
                <w:b/>
                <w:bCs/>
                <w:color w:val="000000"/>
                <w:sz w:val="22"/>
                <w:szCs w:val="22"/>
                <w:lang w:val="es-CO"/>
              </w:rPr>
            </w:pPr>
            <w:r w:rsidRPr="00591422">
              <w:rPr>
                <w:b/>
                <w:bCs/>
                <w:color w:val="000000"/>
                <w:sz w:val="22"/>
                <w:szCs w:val="22"/>
                <w:lang w:val="es-CO"/>
              </w:rPr>
              <w:t>Criterio</w:t>
            </w:r>
          </w:p>
        </w:tc>
        <w:tc>
          <w:tcPr>
            <w:tcW w:w="1200" w:type="dxa"/>
            <w:tcBorders>
              <w:top w:val="single" w:sz="8" w:space="0" w:color="auto"/>
              <w:left w:val="nil"/>
              <w:bottom w:val="single" w:sz="4" w:space="0" w:color="auto"/>
              <w:right w:val="single" w:sz="8" w:space="0" w:color="auto"/>
            </w:tcBorders>
            <w:shd w:val="clear" w:color="000000" w:fill="B4C6E7"/>
            <w:noWrap/>
            <w:vAlign w:val="bottom"/>
            <w:hideMark/>
          </w:tcPr>
          <w:p w14:paraId="25A83492" w14:textId="77777777" w:rsidR="00591422" w:rsidRPr="00591422" w:rsidRDefault="00591422" w:rsidP="00591422">
            <w:pPr>
              <w:spacing w:before="0" w:line="240" w:lineRule="auto"/>
              <w:ind w:firstLine="0"/>
              <w:rPr>
                <w:b/>
                <w:bCs/>
                <w:color w:val="000000"/>
                <w:sz w:val="22"/>
                <w:szCs w:val="22"/>
                <w:lang w:val="es-CO"/>
              </w:rPr>
            </w:pPr>
            <w:r w:rsidRPr="00591422">
              <w:rPr>
                <w:b/>
                <w:bCs/>
                <w:color w:val="000000"/>
                <w:sz w:val="22"/>
                <w:szCs w:val="22"/>
                <w:lang w:val="es-CO"/>
              </w:rPr>
              <w:t>Peso</w:t>
            </w:r>
          </w:p>
        </w:tc>
      </w:tr>
      <w:tr w:rsidR="00591422" w:rsidRPr="00591422" w14:paraId="2E7A9AA4" w14:textId="77777777" w:rsidTr="00591422">
        <w:trPr>
          <w:trHeight w:val="290"/>
          <w:jc w:val="center"/>
        </w:trPr>
        <w:tc>
          <w:tcPr>
            <w:tcW w:w="1528" w:type="dxa"/>
            <w:tcBorders>
              <w:top w:val="nil"/>
              <w:left w:val="single" w:sz="8" w:space="0" w:color="auto"/>
              <w:bottom w:val="single" w:sz="4" w:space="0" w:color="auto"/>
              <w:right w:val="single" w:sz="4" w:space="0" w:color="auto"/>
            </w:tcBorders>
            <w:shd w:val="clear" w:color="000000" w:fill="D9E1F2"/>
            <w:noWrap/>
            <w:vAlign w:val="bottom"/>
            <w:hideMark/>
          </w:tcPr>
          <w:p w14:paraId="245C6EC8"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Impacto</w:t>
            </w:r>
          </w:p>
        </w:tc>
        <w:tc>
          <w:tcPr>
            <w:tcW w:w="1200" w:type="dxa"/>
            <w:tcBorders>
              <w:top w:val="nil"/>
              <w:left w:val="nil"/>
              <w:bottom w:val="single" w:sz="4" w:space="0" w:color="auto"/>
              <w:right w:val="single" w:sz="8" w:space="0" w:color="auto"/>
            </w:tcBorders>
            <w:shd w:val="clear" w:color="000000" w:fill="D9E1F2"/>
            <w:noWrap/>
            <w:vAlign w:val="bottom"/>
            <w:hideMark/>
          </w:tcPr>
          <w:p w14:paraId="0912BA1D"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0.25</w:t>
            </w:r>
          </w:p>
        </w:tc>
      </w:tr>
      <w:tr w:rsidR="00591422" w:rsidRPr="00591422" w14:paraId="56139089" w14:textId="77777777" w:rsidTr="00591422">
        <w:trPr>
          <w:trHeight w:val="290"/>
          <w:jc w:val="center"/>
        </w:trPr>
        <w:tc>
          <w:tcPr>
            <w:tcW w:w="1528" w:type="dxa"/>
            <w:tcBorders>
              <w:top w:val="nil"/>
              <w:left w:val="single" w:sz="8" w:space="0" w:color="auto"/>
              <w:bottom w:val="single" w:sz="4" w:space="0" w:color="auto"/>
              <w:right w:val="single" w:sz="4" w:space="0" w:color="auto"/>
            </w:tcBorders>
            <w:shd w:val="clear" w:color="000000" w:fill="D9E1F2"/>
            <w:noWrap/>
            <w:vAlign w:val="bottom"/>
            <w:hideMark/>
          </w:tcPr>
          <w:p w14:paraId="308B5095"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Exposición</w:t>
            </w:r>
          </w:p>
        </w:tc>
        <w:tc>
          <w:tcPr>
            <w:tcW w:w="1200" w:type="dxa"/>
            <w:tcBorders>
              <w:top w:val="nil"/>
              <w:left w:val="nil"/>
              <w:bottom w:val="single" w:sz="4" w:space="0" w:color="auto"/>
              <w:right w:val="single" w:sz="8" w:space="0" w:color="auto"/>
            </w:tcBorders>
            <w:shd w:val="clear" w:color="000000" w:fill="D9E1F2"/>
            <w:noWrap/>
            <w:vAlign w:val="bottom"/>
            <w:hideMark/>
          </w:tcPr>
          <w:p w14:paraId="6B9F3726"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0.204</w:t>
            </w:r>
          </w:p>
        </w:tc>
      </w:tr>
      <w:tr w:rsidR="00591422" w:rsidRPr="00591422" w14:paraId="1D5E897B" w14:textId="77777777" w:rsidTr="00591422">
        <w:trPr>
          <w:trHeight w:val="290"/>
          <w:jc w:val="center"/>
        </w:trPr>
        <w:tc>
          <w:tcPr>
            <w:tcW w:w="1528" w:type="dxa"/>
            <w:tcBorders>
              <w:top w:val="nil"/>
              <w:left w:val="single" w:sz="8" w:space="0" w:color="auto"/>
              <w:bottom w:val="single" w:sz="4" w:space="0" w:color="auto"/>
              <w:right w:val="single" w:sz="4" w:space="0" w:color="auto"/>
            </w:tcBorders>
            <w:shd w:val="clear" w:color="000000" w:fill="D9E1F2"/>
            <w:noWrap/>
            <w:vAlign w:val="bottom"/>
            <w:hideMark/>
          </w:tcPr>
          <w:p w14:paraId="479CA89E"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Probabilidad</w:t>
            </w:r>
          </w:p>
        </w:tc>
        <w:tc>
          <w:tcPr>
            <w:tcW w:w="1200" w:type="dxa"/>
            <w:tcBorders>
              <w:top w:val="nil"/>
              <w:left w:val="nil"/>
              <w:bottom w:val="single" w:sz="4" w:space="0" w:color="auto"/>
              <w:right w:val="single" w:sz="8" w:space="0" w:color="auto"/>
            </w:tcBorders>
            <w:shd w:val="clear" w:color="000000" w:fill="D9E1F2"/>
            <w:noWrap/>
            <w:vAlign w:val="bottom"/>
            <w:hideMark/>
          </w:tcPr>
          <w:p w14:paraId="5FFD8EDC"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0.151</w:t>
            </w:r>
          </w:p>
        </w:tc>
      </w:tr>
      <w:tr w:rsidR="00591422" w:rsidRPr="00591422" w14:paraId="1FF395A8" w14:textId="77777777" w:rsidTr="00591422">
        <w:trPr>
          <w:trHeight w:val="290"/>
          <w:jc w:val="center"/>
        </w:trPr>
        <w:tc>
          <w:tcPr>
            <w:tcW w:w="1528" w:type="dxa"/>
            <w:tcBorders>
              <w:top w:val="nil"/>
              <w:left w:val="single" w:sz="8" w:space="0" w:color="auto"/>
              <w:bottom w:val="single" w:sz="4" w:space="0" w:color="auto"/>
              <w:right w:val="single" w:sz="4" w:space="0" w:color="auto"/>
            </w:tcBorders>
            <w:shd w:val="clear" w:color="000000" w:fill="D9E1F2"/>
            <w:noWrap/>
            <w:vAlign w:val="bottom"/>
            <w:hideMark/>
          </w:tcPr>
          <w:p w14:paraId="4ECCFB51"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Resiliencia</w:t>
            </w:r>
          </w:p>
        </w:tc>
        <w:tc>
          <w:tcPr>
            <w:tcW w:w="1200" w:type="dxa"/>
            <w:tcBorders>
              <w:top w:val="nil"/>
              <w:left w:val="nil"/>
              <w:bottom w:val="single" w:sz="4" w:space="0" w:color="auto"/>
              <w:right w:val="single" w:sz="8" w:space="0" w:color="auto"/>
            </w:tcBorders>
            <w:shd w:val="clear" w:color="000000" w:fill="D9E1F2"/>
            <w:noWrap/>
            <w:vAlign w:val="bottom"/>
            <w:hideMark/>
          </w:tcPr>
          <w:p w14:paraId="28D21EC8"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0.183</w:t>
            </w:r>
          </w:p>
        </w:tc>
      </w:tr>
      <w:tr w:rsidR="00591422" w:rsidRPr="00591422" w14:paraId="65225FCB" w14:textId="77777777" w:rsidTr="00591422">
        <w:trPr>
          <w:trHeight w:val="300"/>
          <w:jc w:val="center"/>
        </w:trPr>
        <w:tc>
          <w:tcPr>
            <w:tcW w:w="1528" w:type="dxa"/>
            <w:tcBorders>
              <w:top w:val="nil"/>
              <w:left w:val="single" w:sz="8" w:space="0" w:color="auto"/>
              <w:bottom w:val="single" w:sz="8" w:space="0" w:color="auto"/>
              <w:right w:val="single" w:sz="4" w:space="0" w:color="auto"/>
            </w:tcBorders>
            <w:shd w:val="clear" w:color="000000" w:fill="D9E1F2"/>
            <w:noWrap/>
            <w:vAlign w:val="bottom"/>
            <w:hideMark/>
          </w:tcPr>
          <w:p w14:paraId="5EC10DF2" w14:textId="39FEAAAD" w:rsidR="00591422" w:rsidRPr="00591422" w:rsidRDefault="00552981" w:rsidP="00591422">
            <w:pPr>
              <w:spacing w:before="0" w:line="240" w:lineRule="auto"/>
              <w:ind w:firstLine="0"/>
              <w:rPr>
                <w:color w:val="000000"/>
                <w:sz w:val="22"/>
                <w:szCs w:val="22"/>
                <w:lang w:val="es-CO"/>
              </w:rPr>
            </w:pPr>
            <w:r w:rsidRPr="00591422">
              <w:rPr>
                <w:color w:val="000000"/>
                <w:sz w:val="22"/>
                <w:szCs w:val="22"/>
                <w:lang w:val="es-CO"/>
              </w:rPr>
              <w:t>Vulnerabilidad</w:t>
            </w:r>
          </w:p>
        </w:tc>
        <w:tc>
          <w:tcPr>
            <w:tcW w:w="1200" w:type="dxa"/>
            <w:tcBorders>
              <w:top w:val="nil"/>
              <w:left w:val="nil"/>
              <w:bottom w:val="single" w:sz="8" w:space="0" w:color="auto"/>
              <w:right w:val="single" w:sz="8" w:space="0" w:color="auto"/>
            </w:tcBorders>
            <w:shd w:val="clear" w:color="000000" w:fill="D9E1F2"/>
            <w:noWrap/>
            <w:vAlign w:val="bottom"/>
            <w:hideMark/>
          </w:tcPr>
          <w:p w14:paraId="2F40D46F" w14:textId="77777777" w:rsidR="00591422" w:rsidRPr="00591422" w:rsidRDefault="00591422" w:rsidP="00591422">
            <w:pPr>
              <w:spacing w:before="0" w:line="240" w:lineRule="auto"/>
              <w:ind w:firstLine="0"/>
              <w:rPr>
                <w:color w:val="000000"/>
                <w:sz w:val="22"/>
                <w:szCs w:val="22"/>
                <w:lang w:val="es-CO"/>
              </w:rPr>
            </w:pPr>
            <w:r w:rsidRPr="00591422">
              <w:rPr>
                <w:color w:val="000000"/>
                <w:sz w:val="22"/>
                <w:szCs w:val="22"/>
                <w:lang w:val="es-CO"/>
              </w:rPr>
              <w:t>0.211</w:t>
            </w:r>
          </w:p>
        </w:tc>
      </w:tr>
    </w:tbl>
    <w:p w14:paraId="51EF7D4F" w14:textId="088BFADD" w:rsidR="007028FC" w:rsidRPr="007028FC" w:rsidRDefault="007028FC" w:rsidP="007028FC">
      <w:pPr>
        <w:spacing w:before="0" w:line="240" w:lineRule="auto"/>
        <w:jc w:val="center"/>
        <w:rPr>
          <w:sz w:val="18"/>
          <w:szCs w:val="18"/>
          <w:lang w:eastAsia="es-ES_tradnl"/>
        </w:rPr>
      </w:pPr>
      <w:bookmarkStart w:id="40" w:name="_Toc134470842"/>
      <w:bookmarkStart w:id="41" w:name="_Hlk134363544"/>
      <w:r w:rsidRPr="007028FC">
        <w:rPr>
          <w:sz w:val="18"/>
          <w:szCs w:val="18"/>
          <w:lang w:eastAsia="es-ES_tradnl"/>
        </w:rPr>
        <w:t xml:space="preserve">Tabla </w:t>
      </w:r>
      <w:r w:rsidRPr="007028FC">
        <w:rPr>
          <w:sz w:val="18"/>
          <w:szCs w:val="18"/>
          <w:lang w:eastAsia="es-ES_tradnl"/>
        </w:rPr>
        <w:fldChar w:fldCharType="begin"/>
      </w:r>
      <w:r w:rsidRPr="007028FC">
        <w:rPr>
          <w:sz w:val="18"/>
          <w:szCs w:val="18"/>
          <w:lang w:eastAsia="es-ES_tradnl"/>
        </w:rPr>
        <w:instrText xml:space="preserve"> SEQ Tabla \* ARABIC </w:instrText>
      </w:r>
      <w:r w:rsidRPr="007028FC">
        <w:rPr>
          <w:sz w:val="18"/>
          <w:szCs w:val="18"/>
          <w:lang w:eastAsia="es-ES_tradnl"/>
        </w:rPr>
        <w:fldChar w:fldCharType="separate"/>
      </w:r>
      <w:r w:rsidR="00036BF0">
        <w:rPr>
          <w:noProof/>
          <w:sz w:val="18"/>
          <w:szCs w:val="18"/>
          <w:lang w:eastAsia="es-ES_tradnl"/>
        </w:rPr>
        <w:t>3</w:t>
      </w:r>
      <w:r w:rsidRPr="007028FC">
        <w:rPr>
          <w:sz w:val="18"/>
          <w:szCs w:val="18"/>
          <w:lang w:eastAsia="es-ES_tradnl"/>
        </w:rPr>
        <w:fldChar w:fldCharType="end"/>
      </w:r>
      <w:r w:rsidRPr="007028FC">
        <w:rPr>
          <w:sz w:val="18"/>
          <w:szCs w:val="18"/>
          <w:lang w:eastAsia="es-ES_tradnl"/>
        </w:rPr>
        <w:t>. Tabla de pesos de criterios. Elaboración Propia</w:t>
      </w:r>
      <w:bookmarkEnd w:id="40"/>
    </w:p>
    <w:bookmarkEnd w:id="41"/>
    <w:p w14:paraId="3D91E2D0" w14:textId="6503A102" w:rsidR="005856FF" w:rsidRDefault="005856FF" w:rsidP="00A056C1">
      <w:pPr>
        <w:jc w:val="both"/>
        <w:rPr>
          <w:lang w:val="es-CO" w:eastAsia="es-ES"/>
        </w:rPr>
      </w:pPr>
      <w:r>
        <w:rPr>
          <w:lang w:val="es-CO" w:eastAsia="es-ES"/>
        </w:rPr>
        <w:t>Si se indaga más en los resultados</w:t>
      </w:r>
      <w:r w:rsidR="00C10F14">
        <w:rPr>
          <w:lang w:val="es-CO" w:eastAsia="es-ES"/>
        </w:rPr>
        <w:t>,</w:t>
      </w:r>
      <w:r>
        <w:rPr>
          <w:lang w:val="es-CO" w:eastAsia="es-ES"/>
        </w:rPr>
        <w:t xml:space="preserve"> también se observa que </w:t>
      </w:r>
      <w:r w:rsidR="00E44317">
        <w:rPr>
          <w:lang w:val="es-CO" w:eastAsia="es-ES"/>
        </w:rPr>
        <w:t xml:space="preserve">los criterios que siguen en </w:t>
      </w:r>
      <w:r w:rsidR="00C10F14">
        <w:rPr>
          <w:lang w:val="es-CO" w:eastAsia="es-ES"/>
        </w:rPr>
        <w:t xml:space="preserve">orden de </w:t>
      </w:r>
      <w:r w:rsidR="00E44317">
        <w:rPr>
          <w:lang w:val="es-CO" w:eastAsia="es-ES"/>
        </w:rPr>
        <w:t>importancia son vulnerabilidad, exposición y resiliencia, con pesos de 0.21, 0.2 y 0.1</w:t>
      </w:r>
      <w:r w:rsidR="00591422">
        <w:rPr>
          <w:lang w:val="es-CO" w:eastAsia="es-ES"/>
        </w:rPr>
        <w:t>8</w:t>
      </w:r>
      <w:r w:rsidR="00C10F14">
        <w:rPr>
          <w:lang w:val="es-CO" w:eastAsia="es-ES"/>
        </w:rPr>
        <w:t>,</w:t>
      </w:r>
      <w:r w:rsidR="00E44317">
        <w:rPr>
          <w:lang w:val="es-CO" w:eastAsia="es-ES"/>
        </w:rPr>
        <w:t xml:space="preserve"> respectivamente. Se evidencia que tienen pesos similares entre sí. Por </w:t>
      </w:r>
      <w:r w:rsidR="009409C7">
        <w:rPr>
          <w:lang w:val="es-CO" w:eastAsia="es-ES"/>
        </w:rPr>
        <w:t>último,</w:t>
      </w:r>
      <w:r w:rsidR="00E44317">
        <w:rPr>
          <w:lang w:val="es-CO" w:eastAsia="es-ES"/>
        </w:rPr>
        <w:t xml:space="preserve"> queda la probabilidad </w:t>
      </w:r>
      <w:r w:rsidR="009409C7">
        <w:rPr>
          <w:lang w:val="es-CO" w:eastAsia="es-ES"/>
        </w:rPr>
        <w:t>con un peso aproximado de 0.15, siendo claramente el que los expertos consideran menos importante.</w:t>
      </w:r>
    </w:p>
    <w:p w14:paraId="2AC6A8AA" w14:textId="36BD54A7" w:rsidR="009409C7" w:rsidRDefault="009409C7" w:rsidP="00A056C1">
      <w:pPr>
        <w:jc w:val="both"/>
        <w:rPr>
          <w:lang w:val="es-CO" w:eastAsia="es-ES"/>
        </w:rPr>
      </w:pPr>
      <w:r>
        <w:rPr>
          <w:lang w:val="es-CO" w:eastAsia="es-ES"/>
        </w:rPr>
        <w:t xml:space="preserve">En primera instancia podría parecer paradójico que un criterio considerado menos importante que los otros sea a menudo más utilizado por los expertos para determinar un riesgo. No obstante, si se toman en cuenta investigaciones como la de </w:t>
      </w:r>
      <w:r>
        <w:rPr>
          <w:lang w:val="es-CO" w:eastAsia="es-ES"/>
        </w:rPr>
        <w:fldChar w:fldCharType="begin" w:fldLock="1"/>
      </w:r>
      <w:r w:rsidR="008F257A">
        <w:rPr>
          <w:lang w:val="es-CO" w:eastAsia="es-ES"/>
        </w:rPr>
        <w:instrText>ADDIN CSL_CITATION {"citationItems":[{"id":"ITEM-1","itemData":{"DOI":"10.3929/ethz-b-000428321","author":[{"dropping-particle":"","family":"Bingler","given":"Julia Anna","non-dropping-particle":"","parse-names":false,"suffix":""},{"dropping-particle":"","family":"Senni","given":"Chiara colesanti","non-dropping-particle":"","parse-names":false,"suffix":""}],"id":"ITEM-1","issued":{"date-parts":[["2020"]]},"title":"Taming the Green Swan: How to improve climate-related financial risk assessments","type":"article-journal"},"uris":["http://www.mendeley.com/documents/?uuid=9afb404f-f0f1-47f5-9964-b5ad9ef6d300"]}],"mendeley":{"formattedCitation":"(Bingler &amp; Senni, 2020)","manualFormatting":"Bingler &amp; Senni, 2020","plainTextFormattedCitation":"(Bingler &amp; Senni, 2020)","previouslyFormattedCitation":"(Bingler &amp; Senni, 2020)"},"properties":{"noteIndex":0},"schema":"https://github.com/citation-style-language/schema/raw/master/csl-citation.json"}</w:instrText>
      </w:r>
      <w:r>
        <w:rPr>
          <w:lang w:val="es-CO" w:eastAsia="es-ES"/>
        </w:rPr>
        <w:fldChar w:fldCharType="separate"/>
      </w:r>
      <w:r w:rsidRPr="009409C7">
        <w:rPr>
          <w:noProof/>
          <w:lang w:val="es-CO" w:eastAsia="es-ES"/>
        </w:rPr>
        <w:t>Bingler &amp; Senni, 2020</w:t>
      </w:r>
      <w:r>
        <w:rPr>
          <w:lang w:val="es-CO" w:eastAsia="es-ES"/>
        </w:rPr>
        <w:fldChar w:fldCharType="end"/>
      </w:r>
      <w:r>
        <w:rPr>
          <w:lang w:val="es-CO" w:eastAsia="es-ES"/>
        </w:rPr>
        <w:t>, donde se define el impacto como una interacción de factores como la vulnerabilidad, la resiliencia y la exposición, entre otros</w:t>
      </w:r>
      <w:r w:rsidR="00C10F14">
        <w:rPr>
          <w:lang w:val="es-CO" w:eastAsia="es-ES"/>
        </w:rPr>
        <w:t xml:space="preserve"> criterios</w:t>
      </w:r>
      <w:r w:rsidR="00D4005D">
        <w:rPr>
          <w:lang w:val="es-CO" w:eastAsia="es-ES"/>
        </w:rPr>
        <w:t>, los resultados obtenidos son apenas normales</w:t>
      </w:r>
      <w:r>
        <w:rPr>
          <w:lang w:val="es-CO" w:eastAsia="es-ES"/>
        </w:rPr>
        <w:t>. Estudios como estos no s</w:t>
      </w:r>
      <w:r w:rsidR="005B7A0F">
        <w:rPr>
          <w:lang w:val="es-CO" w:eastAsia="es-ES"/>
        </w:rPr>
        <w:t>ó</w:t>
      </w:r>
      <w:r>
        <w:rPr>
          <w:lang w:val="es-CO" w:eastAsia="es-ES"/>
        </w:rPr>
        <w:t>lo explican dicha contradicción entre los resultados y la realidad del estado del arte, sino que explican además por</w:t>
      </w:r>
      <w:r w:rsidR="00C10F14">
        <w:rPr>
          <w:lang w:val="es-CO" w:eastAsia="es-ES"/>
        </w:rPr>
        <w:t xml:space="preserve"> </w:t>
      </w:r>
      <w:r>
        <w:rPr>
          <w:lang w:val="es-CO" w:eastAsia="es-ES"/>
        </w:rPr>
        <w:t>qu</w:t>
      </w:r>
      <w:r w:rsidR="00C10F14">
        <w:rPr>
          <w:lang w:val="es-CO" w:eastAsia="es-ES"/>
        </w:rPr>
        <w:t>é</w:t>
      </w:r>
      <w:r>
        <w:rPr>
          <w:lang w:val="es-CO" w:eastAsia="es-ES"/>
        </w:rPr>
        <w:t xml:space="preserve"> los pesos de los criterios dieron de esta determinada manera. Definitivamente el impacto es m</w:t>
      </w:r>
      <w:r w:rsidR="005B7A0F">
        <w:rPr>
          <w:lang w:val="es-CO" w:eastAsia="es-ES"/>
        </w:rPr>
        <w:t>á</w:t>
      </w:r>
      <w:r>
        <w:rPr>
          <w:lang w:val="es-CO" w:eastAsia="es-ES"/>
        </w:rPr>
        <w:t>s importante que la probabilidad para los expertos, pero podría decirse que ello se debe a que el impacto es la suma de varios factores, cada uno de ellos con similar relevancia, que suman peso al total de importancia que tiene el impacto, por esta razón los resultados de la encuesta pueden interpretarse como coherentes desde el punto de vista teórico.</w:t>
      </w:r>
    </w:p>
    <w:p w14:paraId="418EFD1A" w14:textId="5744B9D1" w:rsidR="00D4005D" w:rsidRDefault="00D4005D" w:rsidP="00A056C1">
      <w:pPr>
        <w:jc w:val="both"/>
        <w:rPr>
          <w:lang w:val="es-CO" w:eastAsia="es-ES"/>
        </w:rPr>
      </w:pPr>
      <w:r>
        <w:rPr>
          <w:lang w:val="es-CO" w:eastAsia="es-ES"/>
        </w:rPr>
        <w:lastRenderedPageBreak/>
        <w:t xml:space="preserve">Ahora, con respecto a las variables también es posible obtener resultados </w:t>
      </w:r>
      <w:r w:rsidR="00D005FE">
        <w:rPr>
          <w:lang w:val="es-CO" w:eastAsia="es-ES"/>
        </w:rPr>
        <w:t>importantes</w:t>
      </w:r>
      <w:r>
        <w:rPr>
          <w:lang w:val="es-CO" w:eastAsia="es-ES"/>
        </w:rPr>
        <w:t>. En la tabla que sigue a continuación, se evidencia</w:t>
      </w:r>
      <w:r w:rsidR="00B24E31">
        <w:rPr>
          <w:lang w:val="es-CO" w:eastAsia="es-ES"/>
        </w:rPr>
        <w:t>n</w:t>
      </w:r>
      <w:r>
        <w:rPr>
          <w:lang w:val="es-CO" w:eastAsia="es-ES"/>
        </w:rPr>
        <w:t xml:space="preserve"> los </w:t>
      </w:r>
      <w:r w:rsidR="00F7660D">
        <w:rPr>
          <w:lang w:val="es-CO" w:eastAsia="es-ES"/>
        </w:rPr>
        <w:t>rendimientos</w:t>
      </w:r>
      <w:r w:rsidR="005B7A0F">
        <w:rPr>
          <w:lang w:val="es-CO" w:eastAsia="es-ES"/>
        </w:rPr>
        <w:t xml:space="preserve"> (</w:t>
      </w:r>
      <w:r w:rsidRPr="00D479E8">
        <w:rPr>
          <w:i/>
          <w:iCs/>
          <w:lang w:val="es-CO" w:eastAsia="es-ES"/>
        </w:rPr>
        <w:t>performance</w:t>
      </w:r>
      <w:r w:rsidR="00D005FE" w:rsidRPr="00D479E8">
        <w:rPr>
          <w:i/>
          <w:iCs/>
          <w:lang w:val="es-CO" w:eastAsia="es-ES"/>
        </w:rPr>
        <w:t>s</w:t>
      </w:r>
      <w:r w:rsidR="005B7A0F">
        <w:rPr>
          <w:iCs/>
          <w:lang w:val="es-CO" w:eastAsia="es-ES"/>
        </w:rPr>
        <w:t>)</w:t>
      </w:r>
      <w:r>
        <w:rPr>
          <w:lang w:val="es-CO" w:eastAsia="es-ES"/>
        </w:rPr>
        <w:t xml:space="preserve"> para cada uno de los riesgos seleccionados</w:t>
      </w:r>
      <w:r w:rsidR="00B24E31">
        <w:rPr>
          <w:lang w:val="es-CO" w:eastAsia="es-ES"/>
        </w:rPr>
        <w:t xml:space="preserve"> bajo la metodología de TOPSIS</w:t>
      </w:r>
      <w:r>
        <w:rPr>
          <w:lang w:val="es-CO" w:eastAsia="es-ES"/>
        </w:rPr>
        <w:t>:</w:t>
      </w:r>
    </w:p>
    <w:p w14:paraId="5E591DEE" w14:textId="38E0119D" w:rsidR="007028FC" w:rsidRPr="007028FC" w:rsidRDefault="00532230" w:rsidP="007028FC">
      <w:pPr>
        <w:rPr>
          <w:lang w:val="es-CO" w:eastAsia="es-ES"/>
        </w:rPr>
      </w:pPr>
      <w:r w:rsidRPr="00532230">
        <w:rPr>
          <w:noProof/>
        </w:rPr>
        <w:drawing>
          <wp:inline distT="0" distB="0" distL="0" distR="0" wp14:anchorId="20B1D516" wp14:editId="2CDA1FB3">
            <wp:extent cx="5972810" cy="2995295"/>
            <wp:effectExtent l="0" t="0" r="0" b="0"/>
            <wp:docPr id="154805643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2810" cy="2995295"/>
                    </a:xfrm>
                    <a:prstGeom prst="rect">
                      <a:avLst/>
                    </a:prstGeom>
                    <a:noFill/>
                    <a:ln>
                      <a:noFill/>
                    </a:ln>
                  </pic:spPr>
                </pic:pic>
              </a:graphicData>
            </a:graphic>
          </wp:inline>
        </w:drawing>
      </w:r>
    </w:p>
    <w:p w14:paraId="1BDE2C06" w14:textId="256EF217" w:rsidR="007028FC" w:rsidRPr="007028FC" w:rsidRDefault="007028FC" w:rsidP="007028FC">
      <w:pPr>
        <w:spacing w:before="0" w:line="240" w:lineRule="auto"/>
        <w:jc w:val="center"/>
        <w:rPr>
          <w:sz w:val="16"/>
          <w:szCs w:val="16"/>
          <w:lang w:eastAsia="es-ES_tradnl"/>
        </w:rPr>
      </w:pPr>
      <w:bookmarkStart w:id="42" w:name="_Toc134470843"/>
      <w:r w:rsidRPr="007028FC">
        <w:rPr>
          <w:sz w:val="16"/>
          <w:szCs w:val="16"/>
          <w:lang w:eastAsia="es-ES_tradnl"/>
        </w:rPr>
        <w:t xml:space="preserve">Tabla </w:t>
      </w:r>
      <w:r w:rsidRPr="007028FC">
        <w:rPr>
          <w:sz w:val="16"/>
          <w:szCs w:val="16"/>
          <w:lang w:eastAsia="es-ES_tradnl"/>
        </w:rPr>
        <w:fldChar w:fldCharType="begin"/>
      </w:r>
      <w:r w:rsidRPr="007028FC">
        <w:rPr>
          <w:sz w:val="16"/>
          <w:szCs w:val="16"/>
          <w:lang w:eastAsia="es-ES_tradnl"/>
        </w:rPr>
        <w:instrText xml:space="preserve"> SEQ Tabla \* ARABIC </w:instrText>
      </w:r>
      <w:r w:rsidRPr="007028FC">
        <w:rPr>
          <w:sz w:val="16"/>
          <w:szCs w:val="16"/>
          <w:lang w:eastAsia="es-ES_tradnl"/>
        </w:rPr>
        <w:fldChar w:fldCharType="separate"/>
      </w:r>
      <w:r w:rsidR="00036BF0">
        <w:rPr>
          <w:noProof/>
          <w:sz w:val="16"/>
          <w:szCs w:val="16"/>
          <w:lang w:eastAsia="es-ES_tradnl"/>
        </w:rPr>
        <w:t>4</w:t>
      </w:r>
      <w:r w:rsidRPr="007028FC">
        <w:rPr>
          <w:sz w:val="16"/>
          <w:szCs w:val="16"/>
          <w:lang w:eastAsia="es-ES_tradnl"/>
        </w:rPr>
        <w:fldChar w:fldCharType="end"/>
      </w:r>
      <w:r w:rsidRPr="007028FC">
        <w:rPr>
          <w:sz w:val="16"/>
          <w:szCs w:val="16"/>
          <w:lang w:eastAsia="es-ES_tradnl"/>
        </w:rPr>
        <w:t>. Tabla de Resultados Bajo Metodología TOPSIS. Elaboración Propia</w:t>
      </w:r>
      <w:bookmarkEnd w:id="42"/>
    </w:p>
    <w:p w14:paraId="6FA85C1D" w14:textId="7F8E5D76" w:rsidR="00D4005D" w:rsidRDefault="00D4005D" w:rsidP="00A056C1">
      <w:pPr>
        <w:jc w:val="both"/>
        <w:rPr>
          <w:lang w:val="es-CO" w:eastAsia="es-ES"/>
        </w:rPr>
      </w:pPr>
      <w:r>
        <w:rPr>
          <w:lang w:val="es-CO" w:eastAsia="es-ES"/>
        </w:rPr>
        <w:t>Lo primero que vale la pena resaltar, es que a pesar de que claramente hay algunos riesgos m</w:t>
      </w:r>
      <w:r w:rsidR="00D005FE">
        <w:rPr>
          <w:lang w:val="es-CO" w:eastAsia="es-ES"/>
        </w:rPr>
        <w:t>á</w:t>
      </w:r>
      <w:r>
        <w:rPr>
          <w:lang w:val="es-CO" w:eastAsia="es-ES"/>
        </w:rPr>
        <w:t xml:space="preserve">s importantes que otros, en general existe poca diferencia entre cada uno de </w:t>
      </w:r>
      <w:r w:rsidR="00552981">
        <w:rPr>
          <w:lang w:val="es-CO" w:eastAsia="es-ES"/>
        </w:rPr>
        <w:t>ellos</w:t>
      </w:r>
      <w:r w:rsidR="00CB6530">
        <w:rPr>
          <w:lang w:val="es-CO" w:eastAsia="es-ES"/>
        </w:rPr>
        <w:t xml:space="preserve">, por lo menos en cuanto a la herramienta de </w:t>
      </w:r>
      <w:r w:rsidR="00D005FE">
        <w:rPr>
          <w:lang w:val="es-CO" w:eastAsia="es-ES"/>
        </w:rPr>
        <w:t xml:space="preserve">TOPSIS </w:t>
      </w:r>
      <w:r w:rsidR="00CB6530">
        <w:rPr>
          <w:lang w:val="es-CO" w:eastAsia="es-ES"/>
        </w:rPr>
        <w:t>se refiere. Esto puede significar que, si bien las empresas deberían priorizar la gestión de unos riesgos por encima de otros, en general es importante tener contemplados todos los riesgos.</w:t>
      </w:r>
    </w:p>
    <w:p w14:paraId="602ED00F" w14:textId="540524AC" w:rsidR="00E6553D" w:rsidRDefault="00E6553D" w:rsidP="00A056C1">
      <w:pPr>
        <w:jc w:val="both"/>
        <w:rPr>
          <w:lang w:val="es-CO" w:eastAsia="es-ES"/>
        </w:rPr>
      </w:pPr>
      <w:r>
        <w:rPr>
          <w:lang w:val="es-CO" w:eastAsia="es-ES"/>
        </w:rPr>
        <w:t xml:space="preserve">Además, según los resultados de la metodología TOPSIS, los riesgos más importantes son los riesgos </w:t>
      </w:r>
      <w:r w:rsidR="00552981">
        <w:rPr>
          <w:lang w:val="es-CO" w:eastAsia="es-ES"/>
        </w:rPr>
        <w:t xml:space="preserve">RM2, </w:t>
      </w:r>
      <w:r>
        <w:rPr>
          <w:lang w:val="es-CO" w:eastAsia="es-ES"/>
        </w:rPr>
        <w:t xml:space="preserve">Rreg1, </w:t>
      </w:r>
      <w:r w:rsidR="00552981">
        <w:rPr>
          <w:lang w:val="es-CO" w:eastAsia="es-ES"/>
        </w:rPr>
        <w:t xml:space="preserve">RT2, </w:t>
      </w:r>
      <w:r>
        <w:rPr>
          <w:lang w:val="es-CO" w:eastAsia="es-ES"/>
        </w:rPr>
        <w:t>Rreg2</w:t>
      </w:r>
      <w:r w:rsidR="00552981">
        <w:rPr>
          <w:lang w:val="es-CO" w:eastAsia="es-ES"/>
        </w:rPr>
        <w:t xml:space="preserve"> y</w:t>
      </w:r>
      <w:r>
        <w:rPr>
          <w:lang w:val="es-CO" w:eastAsia="es-ES"/>
        </w:rPr>
        <w:t>RT1</w:t>
      </w:r>
      <w:r w:rsidR="008D751B">
        <w:rPr>
          <w:lang w:val="es-CO" w:eastAsia="es-ES"/>
        </w:rPr>
        <w:t xml:space="preserve">, siendo </w:t>
      </w:r>
      <w:r w:rsidR="00552981">
        <w:rPr>
          <w:lang w:val="es-CO" w:eastAsia="es-ES"/>
        </w:rPr>
        <w:t>RM2 el riesgo más</w:t>
      </w:r>
      <w:r w:rsidR="008D751B">
        <w:rPr>
          <w:lang w:val="es-CO" w:eastAsia="es-ES"/>
        </w:rPr>
        <w:t xml:space="preserve"> importante, esto debido principalmente al gran impacto que puede generar.</w:t>
      </w:r>
    </w:p>
    <w:p w14:paraId="26BA7F94" w14:textId="24F75AFA" w:rsidR="00DC3659" w:rsidRPr="00B24E31" w:rsidRDefault="00DC3659" w:rsidP="00386E51">
      <w:pPr>
        <w:pStyle w:val="Descripcin"/>
        <w:ind w:firstLine="0"/>
        <w:rPr>
          <w:i w:val="0"/>
          <w:iCs w:val="0"/>
        </w:rPr>
      </w:pPr>
    </w:p>
    <w:p w14:paraId="5E368694" w14:textId="7A45AE43" w:rsidR="007D78EE" w:rsidRDefault="007D78EE" w:rsidP="007D78EE">
      <w:pPr>
        <w:pStyle w:val="Ttulo3"/>
        <w:rPr>
          <w:lang w:val="es-CO"/>
        </w:rPr>
      </w:pPr>
      <w:bookmarkStart w:id="43" w:name="_Toc149994760"/>
      <w:r>
        <w:rPr>
          <w:lang w:val="es-CO"/>
        </w:rPr>
        <w:lastRenderedPageBreak/>
        <w:t>Construcción de modelo de lógica difusa</w:t>
      </w:r>
      <w:bookmarkEnd w:id="43"/>
    </w:p>
    <w:p w14:paraId="589C88B4" w14:textId="3265D57A" w:rsidR="00F403E4" w:rsidRDefault="00F403E4" w:rsidP="00A056C1">
      <w:pPr>
        <w:jc w:val="both"/>
        <w:rPr>
          <w:lang w:val="es-CO" w:eastAsia="es-ES"/>
        </w:rPr>
      </w:pPr>
      <w:r>
        <w:rPr>
          <w:lang w:val="es-CO" w:eastAsia="es-ES"/>
        </w:rPr>
        <w:t>Luego de haber obtenido las respuestas de los expertos, y de haber utilizado las metodologías de selección de variables, se procede con la construcción del modelo de lógica difusa para construir la matriz de riesgos con base en los resultados de esta. El modelo de lógica difusa se compone de cuatro partes que contribuyen para lograr el objetivo de obtener un valor escalar.</w:t>
      </w:r>
    </w:p>
    <w:p w14:paraId="77B3C57D" w14:textId="42685293" w:rsidR="00015013" w:rsidRDefault="00015013" w:rsidP="00F403E4">
      <w:pPr>
        <w:rPr>
          <w:b/>
          <w:bCs/>
          <w:lang w:val="es-CO" w:eastAsia="es-ES"/>
        </w:rPr>
      </w:pPr>
      <w:r>
        <w:rPr>
          <w:b/>
          <w:bCs/>
          <w:lang w:val="es-CO" w:eastAsia="es-ES"/>
        </w:rPr>
        <w:t>Definición de conjuntos de matriz de riesgo difusa (</w:t>
      </w:r>
      <w:proofErr w:type="spellStart"/>
      <w:r>
        <w:rPr>
          <w:b/>
          <w:bCs/>
          <w:lang w:val="es-CO" w:eastAsia="es-ES"/>
        </w:rPr>
        <w:t>fuzzificación</w:t>
      </w:r>
      <w:proofErr w:type="spellEnd"/>
      <w:r>
        <w:rPr>
          <w:b/>
          <w:bCs/>
          <w:lang w:val="es-CO" w:eastAsia="es-ES"/>
        </w:rPr>
        <w:t>).</w:t>
      </w:r>
    </w:p>
    <w:p w14:paraId="794FAA11" w14:textId="3DE0E06E" w:rsidR="00015013" w:rsidRDefault="00015013" w:rsidP="00A056C1">
      <w:pPr>
        <w:jc w:val="both"/>
        <w:rPr>
          <w:lang w:val="es-CO" w:eastAsia="es-ES"/>
        </w:rPr>
      </w:pPr>
      <w:r>
        <w:rPr>
          <w:lang w:val="es-CO" w:eastAsia="es-ES"/>
        </w:rPr>
        <w:t>Con el propósito de crear una matriz de evaluación de riesgos difusos, se deben de seleccionar variables de entrada relevantes y disponibles. En este caso, dichas variables son las obtenidas mediante la encuesta</w:t>
      </w:r>
      <w:r w:rsidR="00D005FE">
        <w:rPr>
          <w:lang w:val="es-CO" w:eastAsia="es-ES"/>
        </w:rPr>
        <w:t xml:space="preserve"> aplicada a los expertos</w:t>
      </w:r>
      <w:r>
        <w:rPr>
          <w:lang w:val="es-CO" w:eastAsia="es-ES"/>
        </w:rPr>
        <w:t xml:space="preserve">. </w:t>
      </w:r>
      <w:r w:rsidR="00355D8A">
        <w:rPr>
          <w:lang w:val="es-CO" w:eastAsia="es-ES"/>
        </w:rPr>
        <w:t>Estas</w:t>
      </w:r>
      <w:r>
        <w:rPr>
          <w:lang w:val="es-CO" w:eastAsia="es-ES"/>
        </w:rPr>
        <w:t xml:space="preserve"> variables deben de clasificarse mediante un dominio que se divide en una serie de conjuntos difusos. </w:t>
      </w:r>
      <w:r w:rsidR="00355D8A">
        <w:rPr>
          <w:lang w:val="es-CO" w:eastAsia="es-ES"/>
        </w:rPr>
        <w:t>Estos</w:t>
      </w:r>
      <w:r>
        <w:rPr>
          <w:lang w:val="es-CO" w:eastAsia="es-ES"/>
        </w:rPr>
        <w:t xml:space="preserve"> conjuntos pueden tener diferentes funciones</w:t>
      </w:r>
      <w:r w:rsidR="00043453">
        <w:rPr>
          <w:lang w:val="es-CO" w:eastAsia="es-ES"/>
        </w:rPr>
        <w:t xml:space="preserve"> de membresía según el tipo de variable que se desee clasificar. En este caso se utilizó la función trapezoidal para definir las funciones de pertenencia de las variables de probabilidad</w:t>
      </w:r>
      <w:r w:rsidR="009106E2">
        <w:rPr>
          <w:lang w:val="es-CO" w:eastAsia="es-ES"/>
        </w:rPr>
        <w:t>,</w:t>
      </w:r>
      <w:r w:rsidR="00043453">
        <w:rPr>
          <w:lang w:val="es-CO" w:eastAsia="es-ES"/>
        </w:rPr>
        <w:t xml:space="preserve"> impacto</w:t>
      </w:r>
      <w:r w:rsidR="009106E2">
        <w:rPr>
          <w:lang w:val="es-CO" w:eastAsia="es-ES"/>
        </w:rPr>
        <w:t xml:space="preserve"> y </w:t>
      </w:r>
      <w:r w:rsidR="00D005FE">
        <w:rPr>
          <w:lang w:val="es-CO" w:eastAsia="es-ES"/>
        </w:rPr>
        <w:t xml:space="preserve">nivel de </w:t>
      </w:r>
      <w:r w:rsidR="009106E2">
        <w:rPr>
          <w:lang w:val="es-CO" w:eastAsia="es-ES"/>
        </w:rPr>
        <w:t>riesgo</w:t>
      </w:r>
      <w:r w:rsidR="006009EE">
        <w:rPr>
          <w:lang w:val="es-CO" w:eastAsia="es-ES"/>
        </w:rPr>
        <w:t xml:space="preserve">, ya que se ha utilizado exitosamente en otros análisis de riesgo </w:t>
      </w:r>
      <w:r w:rsidR="006009EE">
        <w:rPr>
          <w:lang w:val="es-CO" w:eastAsia="es-ES"/>
        </w:rPr>
        <w:fldChar w:fldCharType="begin" w:fldLock="1"/>
      </w:r>
      <w:r w:rsidR="00C15207">
        <w:rPr>
          <w:lang w:val="es-CO" w:eastAsia="es-ES"/>
        </w:rPr>
        <w:instrText>ADDIN CSL_CITATION {"citationItems":[{"id":"ITEM-1","itemData":{"author":[{"dropping-particle":"","family":"Vicente Cestero","given":"Eloy","non-dropping-particle":"","parse-names":false,"suffix":""}],"id":"ITEM-1","issued":{"date-parts":[["2013"]]},"page":"106","title":"Un enfoque borroso para el análisis y la gestión de riesgos en sistemas de información","type":"article-journal"},"uris":["http://www.mendeley.com/documents/?uuid=caded29b-4a6f-4f33-9c6e-f17cc20581b6"]}],"mendeley":{"formattedCitation":"(Vicente Cestero, 2013)","plainTextFormattedCitation":"(Vicente Cestero, 2013)","previouslyFormattedCitation":"(Vicente Cestero, 2013)"},"properties":{"noteIndex":0},"schema":"https://github.com/citation-style-language/schema/raw/master/csl-citation.json"}</w:instrText>
      </w:r>
      <w:r w:rsidR="006009EE">
        <w:rPr>
          <w:lang w:val="es-CO" w:eastAsia="es-ES"/>
        </w:rPr>
        <w:fldChar w:fldCharType="separate"/>
      </w:r>
      <w:r w:rsidR="006009EE" w:rsidRPr="006009EE">
        <w:rPr>
          <w:noProof/>
          <w:lang w:val="es-CO" w:eastAsia="es-ES"/>
        </w:rPr>
        <w:t>(Vicente Cestero, 2013)</w:t>
      </w:r>
      <w:r w:rsidR="006009EE">
        <w:rPr>
          <w:lang w:val="es-CO" w:eastAsia="es-ES"/>
        </w:rPr>
        <w:fldChar w:fldCharType="end"/>
      </w:r>
      <w:r w:rsidR="00043453">
        <w:rPr>
          <w:lang w:val="es-CO" w:eastAsia="es-ES"/>
        </w:rPr>
        <w:t>.</w:t>
      </w:r>
      <w:r w:rsidR="009106E2">
        <w:rPr>
          <w:lang w:val="es-CO" w:eastAsia="es-ES"/>
        </w:rPr>
        <w:t xml:space="preserve"> Además, se definió que cada función de membresía iba a estar compuesta por 5 niveles de probabilidad e impacto, y por cuatro </w:t>
      </w:r>
      <w:r w:rsidR="00D005FE">
        <w:rPr>
          <w:lang w:val="es-CO" w:eastAsia="es-ES"/>
        </w:rPr>
        <w:t xml:space="preserve">niveles </w:t>
      </w:r>
      <w:r w:rsidR="009106E2">
        <w:rPr>
          <w:lang w:val="es-CO" w:eastAsia="es-ES"/>
        </w:rPr>
        <w:t>para el caso del riesgo.</w:t>
      </w:r>
      <w:r w:rsidR="00043453">
        <w:rPr>
          <w:lang w:val="es-CO" w:eastAsia="es-ES"/>
        </w:rPr>
        <w:t xml:space="preserve"> En la</w:t>
      </w:r>
      <w:r w:rsidR="009D044E">
        <w:rPr>
          <w:lang w:val="es-CO" w:eastAsia="es-ES"/>
        </w:rPr>
        <w:t xml:space="preserve"> Figura 2</w:t>
      </w:r>
      <w:r w:rsidR="00043453">
        <w:rPr>
          <w:lang w:val="es-CO" w:eastAsia="es-ES"/>
        </w:rPr>
        <w:t xml:space="preserve"> se visualiza</w:t>
      </w:r>
      <w:r w:rsidR="00355D8A">
        <w:rPr>
          <w:lang w:val="es-CO" w:eastAsia="es-ES"/>
        </w:rPr>
        <w:t>n</w:t>
      </w:r>
      <w:r w:rsidR="00043453">
        <w:rPr>
          <w:lang w:val="es-CO" w:eastAsia="es-ES"/>
        </w:rPr>
        <w:t xml:space="preserve"> los conjuntos borrosos y su función de pertenencia para probabilidad, impacto y riesgo.</w:t>
      </w:r>
    </w:p>
    <w:p w14:paraId="28D4AD20" w14:textId="3C82FC56" w:rsidR="00043453" w:rsidRDefault="00043453" w:rsidP="00F403E4">
      <w:pPr>
        <w:rPr>
          <w:lang w:val="es-CO" w:eastAsia="es-ES"/>
        </w:rPr>
      </w:pPr>
      <w:r>
        <w:rPr>
          <w:noProof/>
          <w:sz w:val="22"/>
          <w:szCs w:val="22"/>
        </w:rPr>
        <w:drawing>
          <wp:inline distT="0" distB="0" distL="0" distR="0" wp14:anchorId="3275C707" wp14:editId="2C7034D1">
            <wp:extent cx="1769850" cy="1407190"/>
            <wp:effectExtent l="0" t="0" r="0" b="2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48402" cy="1469646"/>
                    </a:xfrm>
                    <a:prstGeom prst="rect">
                      <a:avLst/>
                    </a:prstGeom>
                    <a:noFill/>
                    <a:ln>
                      <a:noFill/>
                    </a:ln>
                  </pic:spPr>
                </pic:pic>
              </a:graphicData>
            </a:graphic>
          </wp:inline>
        </w:drawing>
      </w:r>
      <w:r>
        <w:rPr>
          <w:noProof/>
          <w:sz w:val="22"/>
          <w:szCs w:val="22"/>
        </w:rPr>
        <w:drawing>
          <wp:inline distT="0" distB="0" distL="0" distR="0" wp14:anchorId="745B0A3A" wp14:editId="52DE1248">
            <wp:extent cx="1770297" cy="1407543"/>
            <wp:effectExtent l="0" t="0" r="0" b="2540"/>
            <wp:docPr id="34" name="Imagen 3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Gráfico&#10;&#10;Descripción generada automá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67335" cy="1484697"/>
                    </a:xfrm>
                    <a:prstGeom prst="rect">
                      <a:avLst/>
                    </a:prstGeom>
                    <a:noFill/>
                    <a:ln>
                      <a:noFill/>
                    </a:ln>
                  </pic:spPr>
                </pic:pic>
              </a:graphicData>
            </a:graphic>
          </wp:inline>
        </w:drawing>
      </w:r>
      <w:r w:rsidR="00762E58" w:rsidRPr="00762E58">
        <w:rPr>
          <w:noProof/>
        </w:rPr>
        <w:t xml:space="preserve"> </w:t>
      </w:r>
      <w:r w:rsidR="00762E58" w:rsidRPr="00762E58">
        <w:rPr>
          <w:noProof/>
          <w:lang w:val="es-CO" w:eastAsia="es-ES"/>
        </w:rPr>
        <w:drawing>
          <wp:inline distT="0" distB="0" distL="0" distR="0" wp14:anchorId="765B0D5A" wp14:editId="26F47A3A">
            <wp:extent cx="1791801" cy="1334191"/>
            <wp:effectExtent l="0" t="0" r="0" b="0"/>
            <wp:docPr id="20070916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091697" name=""/>
                    <pic:cNvPicPr/>
                  </pic:nvPicPr>
                  <pic:blipFill>
                    <a:blip r:embed="rId19"/>
                    <a:stretch>
                      <a:fillRect/>
                    </a:stretch>
                  </pic:blipFill>
                  <pic:spPr>
                    <a:xfrm>
                      <a:off x="0" y="0"/>
                      <a:ext cx="1805726" cy="1344559"/>
                    </a:xfrm>
                    <a:prstGeom prst="rect">
                      <a:avLst/>
                    </a:prstGeom>
                  </pic:spPr>
                </pic:pic>
              </a:graphicData>
            </a:graphic>
          </wp:inline>
        </w:drawing>
      </w:r>
    </w:p>
    <w:p w14:paraId="29BBBD43" w14:textId="726EF20A" w:rsidR="00043453" w:rsidRPr="007028FC" w:rsidRDefault="007028FC" w:rsidP="007028FC">
      <w:pPr>
        <w:spacing w:before="0" w:line="240" w:lineRule="auto"/>
        <w:jc w:val="center"/>
        <w:rPr>
          <w:sz w:val="18"/>
          <w:szCs w:val="18"/>
          <w:lang w:eastAsia="es-ES_tradnl"/>
        </w:rPr>
      </w:pPr>
      <w:bookmarkStart w:id="44" w:name="_Toc134470862"/>
      <w:r w:rsidRPr="007028FC">
        <w:rPr>
          <w:sz w:val="18"/>
          <w:szCs w:val="18"/>
          <w:lang w:eastAsia="es-ES_tradnl"/>
        </w:rPr>
        <w:lastRenderedPageBreak/>
        <w:t xml:space="preserve">Figura </w:t>
      </w:r>
      <w:r w:rsidRPr="007028FC">
        <w:rPr>
          <w:sz w:val="18"/>
          <w:szCs w:val="18"/>
          <w:lang w:eastAsia="es-ES_tradnl"/>
        </w:rPr>
        <w:fldChar w:fldCharType="begin"/>
      </w:r>
      <w:r w:rsidRPr="007028FC">
        <w:rPr>
          <w:sz w:val="18"/>
          <w:szCs w:val="18"/>
          <w:lang w:eastAsia="es-ES_tradnl"/>
        </w:rPr>
        <w:instrText xml:space="preserve"> SEQ Figura \* ARABIC </w:instrText>
      </w:r>
      <w:r w:rsidRPr="007028FC">
        <w:rPr>
          <w:sz w:val="18"/>
          <w:szCs w:val="18"/>
          <w:lang w:eastAsia="es-ES_tradnl"/>
        </w:rPr>
        <w:fldChar w:fldCharType="separate"/>
      </w:r>
      <w:r w:rsidR="00036BF0">
        <w:rPr>
          <w:noProof/>
          <w:sz w:val="18"/>
          <w:szCs w:val="18"/>
          <w:lang w:eastAsia="es-ES_tradnl"/>
        </w:rPr>
        <w:t>2</w:t>
      </w:r>
      <w:r w:rsidRPr="007028FC">
        <w:rPr>
          <w:sz w:val="18"/>
          <w:szCs w:val="18"/>
          <w:lang w:eastAsia="es-ES_tradnl"/>
        </w:rPr>
        <w:fldChar w:fldCharType="end"/>
      </w:r>
      <w:r w:rsidRPr="007028FC">
        <w:rPr>
          <w:sz w:val="18"/>
          <w:szCs w:val="18"/>
          <w:lang w:eastAsia="es-ES_tradnl"/>
        </w:rPr>
        <w:t>. Funciones de pertenencia de la probabilidad, impacto y nivel de riesgo, respectivamente</w:t>
      </w:r>
      <w:r>
        <w:rPr>
          <w:sz w:val="18"/>
          <w:szCs w:val="18"/>
          <w:lang w:eastAsia="es-ES_tradnl"/>
        </w:rPr>
        <w:t>. Fuente: elaboración propia</w:t>
      </w:r>
      <w:bookmarkEnd w:id="44"/>
    </w:p>
    <w:p w14:paraId="55296CBB" w14:textId="597CAD17" w:rsidR="00043453" w:rsidRDefault="00043453" w:rsidP="00043453">
      <w:pPr>
        <w:rPr>
          <w:b/>
          <w:bCs/>
          <w:lang w:val="es-CO" w:eastAsia="es-ES"/>
        </w:rPr>
      </w:pPr>
      <w:r>
        <w:rPr>
          <w:b/>
          <w:bCs/>
          <w:lang w:val="es-CO" w:eastAsia="es-ES"/>
        </w:rPr>
        <w:t>Sistema de inferencia borrosa</w:t>
      </w:r>
    </w:p>
    <w:p w14:paraId="3F8B2251" w14:textId="4BB894AE" w:rsidR="00043453" w:rsidRDefault="00043453" w:rsidP="00A056C1">
      <w:pPr>
        <w:jc w:val="both"/>
        <w:rPr>
          <w:lang w:val="es-CO" w:eastAsia="es-ES"/>
        </w:rPr>
      </w:pPr>
      <w:r>
        <w:rPr>
          <w:lang w:val="es-CO" w:eastAsia="es-ES"/>
        </w:rPr>
        <w:t xml:space="preserve">Para clasificar las diferentes combinaciones posibles de probabilidad e impacto, se puede utilizar un sistema de inferencia difuso por reglas. Estos sistemas funcionan de la siguiente manera: </w:t>
      </w:r>
      <w:r w:rsidR="009106E2">
        <w:rPr>
          <w:lang w:val="es-CO" w:eastAsia="es-ES"/>
        </w:rPr>
        <w:t>SI</w:t>
      </w:r>
      <w:r>
        <w:rPr>
          <w:lang w:val="es-CO" w:eastAsia="es-ES"/>
        </w:rPr>
        <w:t xml:space="preserve"> la probabilidad</w:t>
      </w:r>
      <w:r w:rsidR="009106E2">
        <w:rPr>
          <w:lang w:val="es-CO" w:eastAsia="es-ES"/>
        </w:rPr>
        <w:t xml:space="preserve"> es </w:t>
      </w:r>
      <w:r w:rsidR="009106E2" w:rsidRPr="009106E2">
        <w:rPr>
          <w:i/>
          <w:iCs/>
          <w:lang w:val="es-CO" w:eastAsia="es-ES"/>
        </w:rPr>
        <w:t>p</w:t>
      </w:r>
      <w:r w:rsidR="009106E2">
        <w:rPr>
          <w:lang w:val="es-CO" w:eastAsia="es-ES"/>
        </w:rPr>
        <w:t xml:space="preserve">, y el impacto de las consecuencias es </w:t>
      </w:r>
      <w:r w:rsidR="009106E2" w:rsidRPr="009106E2">
        <w:rPr>
          <w:i/>
          <w:iCs/>
          <w:lang w:val="es-CO" w:eastAsia="es-ES"/>
        </w:rPr>
        <w:t>i</w:t>
      </w:r>
      <w:r w:rsidR="009106E2">
        <w:rPr>
          <w:lang w:val="es-CO" w:eastAsia="es-ES"/>
        </w:rPr>
        <w:t xml:space="preserve">, ENTONCES el riesgo es </w:t>
      </w:r>
      <w:r w:rsidR="009106E2" w:rsidRPr="009106E2">
        <w:rPr>
          <w:i/>
          <w:iCs/>
          <w:lang w:val="es-CO" w:eastAsia="es-ES"/>
        </w:rPr>
        <w:t>r</w:t>
      </w:r>
      <w:r w:rsidR="009106E2">
        <w:rPr>
          <w:i/>
          <w:iCs/>
          <w:lang w:val="es-CO" w:eastAsia="es-ES"/>
        </w:rPr>
        <w:t xml:space="preserve">. </w:t>
      </w:r>
      <w:r w:rsidR="009106E2">
        <w:rPr>
          <w:lang w:val="es-CO" w:eastAsia="es-ES"/>
        </w:rPr>
        <w:t xml:space="preserve">Un ejemplo práctico de esto sería: SI la probabilidad es </w:t>
      </w:r>
      <w:r w:rsidR="009106E2">
        <w:rPr>
          <w:i/>
          <w:iCs/>
          <w:lang w:val="es-CO" w:eastAsia="es-ES"/>
        </w:rPr>
        <w:t>baja</w:t>
      </w:r>
      <w:r w:rsidR="009106E2">
        <w:rPr>
          <w:lang w:val="es-CO" w:eastAsia="es-ES"/>
        </w:rPr>
        <w:t xml:space="preserve"> y el impacto es</w:t>
      </w:r>
      <w:r w:rsidR="009106E2">
        <w:rPr>
          <w:i/>
          <w:iCs/>
          <w:lang w:val="es-CO" w:eastAsia="es-ES"/>
        </w:rPr>
        <w:t xml:space="preserve"> bajo</w:t>
      </w:r>
      <w:r w:rsidR="009106E2">
        <w:rPr>
          <w:lang w:val="es-CO" w:eastAsia="es-ES"/>
        </w:rPr>
        <w:t xml:space="preserve"> ENTONCES el riesgo es </w:t>
      </w:r>
      <w:r w:rsidR="009106E2">
        <w:rPr>
          <w:i/>
          <w:iCs/>
          <w:lang w:val="es-CO" w:eastAsia="es-ES"/>
        </w:rPr>
        <w:t>bajo.</w:t>
      </w:r>
      <w:r w:rsidR="009106E2">
        <w:rPr>
          <w:lang w:val="es-CO" w:eastAsia="es-ES"/>
        </w:rPr>
        <w:t xml:space="preserve"> </w:t>
      </w:r>
    </w:p>
    <w:p w14:paraId="22E0BC38" w14:textId="1AAE8AF3" w:rsidR="009106E2" w:rsidRDefault="009106E2" w:rsidP="00A056C1">
      <w:pPr>
        <w:jc w:val="both"/>
        <w:rPr>
          <w:lang w:val="es-CO" w:eastAsia="es-ES"/>
        </w:rPr>
      </w:pPr>
      <w:r>
        <w:rPr>
          <w:lang w:val="es-CO" w:eastAsia="es-ES"/>
        </w:rPr>
        <w:t xml:space="preserve">Recordemos, además, que la probabilidad, el riesgo y el impacto se definieron anteriormente dentro de conjuntos borrosos. Como las reglas difusas para probabilidad e impacto se definieron en 5 posibles niveles, esto significa que existe un total de 25 reglas posibles para definir los respectivos riesgos. Estas reglas se definieron </w:t>
      </w:r>
      <w:r w:rsidR="008F257A">
        <w:rPr>
          <w:lang w:val="es-CO" w:eastAsia="es-ES"/>
        </w:rPr>
        <w:t xml:space="preserve">de acuerdo al trabajo de </w:t>
      </w:r>
      <w:r w:rsidR="008F257A">
        <w:rPr>
          <w:lang w:val="es-CO" w:eastAsia="es-ES"/>
        </w:rPr>
        <w:fldChar w:fldCharType="begin" w:fldLock="1"/>
      </w:r>
      <w:r w:rsidR="00837846">
        <w:rPr>
          <w:lang w:val="es-CO" w:eastAsia="es-ES"/>
        </w:rPr>
        <w:instrText>ADDIN CSL_CITATION {"citationItems":[{"id":"ITEM-1","itemData":{"ISBN":"9788490225370","author":[{"dropping-particle":"","family":"Argos","given":"","non-dropping-particle":"","parse-names":false,"suffix":""}],"id":"ITEM-1","issued":{"date-parts":[["2021"]]},"title":"climate change risks and opportunities based on TCFD recommendations","type":"article-journal"},"uris":["http://www.mendeley.com/documents/?uuid=0697886f-5ba5-43dc-8b90-27f6372df6a2"]}],"mendeley":{"formattedCitation":"(Argos, 2021)","manualFormatting":"Argos (2021)","plainTextFormattedCitation":"(Argos, 2021)","previouslyFormattedCitation":"(Argos, 2021)"},"properties":{"noteIndex":0},"schema":"https://github.com/citation-style-language/schema/raw/master/csl-citation.json"}</w:instrText>
      </w:r>
      <w:r w:rsidR="008F257A">
        <w:rPr>
          <w:lang w:val="es-CO" w:eastAsia="es-ES"/>
        </w:rPr>
        <w:fldChar w:fldCharType="separate"/>
      </w:r>
      <w:r w:rsidR="008F257A" w:rsidRPr="008F257A">
        <w:rPr>
          <w:noProof/>
          <w:lang w:val="es-CO" w:eastAsia="es-ES"/>
        </w:rPr>
        <w:t>Argos</w:t>
      </w:r>
      <w:r w:rsidR="008F257A">
        <w:rPr>
          <w:noProof/>
          <w:lang w:val="es-CO" w:eastAsia="es-ES"/>
        </w:rPr>
        <w:t xml:space="preserve"> (</w:t>
      </w:r>
      <w:r w:rsidR="00445317">
        <w:rPr>
          <w:noProof/>
          <w:lang w:val="es-CO" w:eastAsia="es-ES"/>
        </w:rPr>
        <w:t>2021</w:t>
      </w:r>
      <w:r w:rsidR="008F257A" w:rsidRPr="008F257A">
        <w:rPr>
          <w:noProof/>
          <w:lang w:val="es-CO" w:eastAsia="es-ES"/>
        </w:rPr>
        <w:t>)</w:t>
      </w:r>
      <w:r w:rsidR="008F257A">
        <w:rPr>
          <w:lang w:val="es-CO" w:eastAsia="es-ES"/>
        </w:rPr>
        <w:fldChar w:fldCharType="end"/>
      </w:r>
      <w:r w:rsidR="008F257A">
        <w:rPr>
          <w:lang w:val="es-CO" w:eastAsia="es-ES"/>
        </w:rPr>
        <w:t xml:space="preserve"> en donde se definió una matriz con una intensidad de riesgo diferente para cada combinación de probabilidad e impacto posibles</w:t>
      </w:r>
      <w:r>
        <w:rPr>
          <w:lang w:val="es-CO" w:eastAsia="es-ES"/>
        </w:rPr>
        <w:t xml:space="preserve">. </w:t>
      </w:r>
      <w:r w:rsidR="00642ACC">
        <w:rPr>
          <w:lang w:val="es-CO" w:eastAsia="es-ES"/>
        </w:rPr>
        <w:t>Dichos riesgos</w:t>
      </w:r>
      <w:r w:rsidR="00D005FE">
        <w:rPr>
          <w:lang w:val="es-CO" w:eastAsia="es-ES"/>
        </w:rPr>
        <w:t xml:space="preserve"> </w:t>
      </w:r>
      <w:r>
        <w:rPr>
          <w:lang w:val="es-CO" w:eastAsia="es-ES"/>
        </w:rPr>
        <w:t>está</w:t>
      </w:r>
      <w:r w:rsidR="00D005FE">
        <w:rPr>
          <w:lang w:val="es-CO" w:eastAsia="es-ES"/>
        </w:rPr>
        <w:t>n</w:t>
      </w:r>
      <w:r>
        <w:rPr>
          <w:lang w:val="es-CO" w:eastAsia="es-ES"/>
        </w:rPr>
        <w:t xml:space="preserve"> </w:t>
      </w:r>
      <w:r w:rsidR="00804630">
        <w:rPr>
          <w:lang w:val="es-CO" w:eastAsia="es-ES"/>
        </w:rPr>
        <w:t>circunscritos</w:t>
      </w:r>
      <w:r>
        <w:rPr>
          <w:lang w:val="es-CO" w:eastAsia="es-ES"/>
        </w:rPr>
        <w:t xml:space="preserve"> dentro de una función de membresía de 4 niveles </w:t>
      </w:r>
      <w:proofErr w:type="gramStart"/>
      <w:r>
        <w:rPr>
          <w:lang w:val="es-CO" w:eastAsia="es-ES"/>
        </w:rPr>
        <w:t>y</w:t>
      </w:r>
      <w:proofErr w:type="gramEnd"/>
      <w:r>
        <w:rPr>
          <w:lang w:val="es-CO" w:eastAsia="es-ES"/>
        </w:rPr>
        <w:t xml:space="preserve"> por lo tanto, </w:t>
      </w:r>
      <w:r w:rsidR="008F257A">
        <w:rPr>
          <w:lang w:val="es-CO" w:eastAsia="es-ES"/>
        </w:rPr>
        <w:t>dentro de la matriz de riesgos se distinguen cuatro niveles de riesgo (bajo, medio, alto crítico).</w:t>
      </w:r>
    </w:p>
    <w:p w14:paraId="2738BE97" w14:textId="0052A2C8" w:rsidR="009106E2" w:rsidRPr="00642ACC" w:rsidRDefault="009106E2" w:rsidP="00A056C1">
      <w:pPr>
        <w:jc w:val="both"/>
        <w:rPr>
          <w:szCs w:val="24"/>
        </w:rPr>
      </w:pPr>
      <w:r w:rsidRPr="00642ACC">
        <w:rPr>
          <w:szCs w:val="24"/>
        </w:rPr>
        <w:t>La lógica borrosa se emplea en este caso</w:t>
      </w:r>
      <w:r w:rsidR="00642ACC">
        <w:rPr>
          <w:szCs w:val="24"/>
        </w:rPr>
        <w:t xml:space="preserve"> como una herramienta que utiliza las respuestas cualitativas de los expertos, y mediante un algoritmo propio de la lógica difusa, convierte dicha información en una respuesta nítida y precisa, de acuerdo con las respuestas.</w:t>
      </w:r>
    </w:p>
    <w:p w14:paraId="6EABDAFA" w14:textId="05B3A4C2" w:rsidR="009106E2" w:rsidRDefault="009106E2" w:rsidP="00A056C1">
      <w:pPr>
        <w:jc w:val="both"/>
        <w:rPr>
          <w:szCs w:val="24"/>
        </w:rPr>
      </w:pPr>
      <w:r w:rsidRPr="00642ACC">
        <w:rPr>
          <w:szCs w:val="24"/>
        </w:rPr>
        <w:t>En la siguiente tabla se ob</w:t>
      </w:r>
      <w:r w:rsidR="008F257A">
        <w:rPr>
          <w:szCs w:val="24"/>
        </w:rPr>
        <w:t xml:space="preserve">servan las reglas difusas </w:t>
      </w:r>
      <w:r w:rsidR="00355D8A">
        <w:rPr>
          <w:szCs w:val="24"/>
        </w:rPr>
        <w:t>de acuerdo con</w:t>
      </w:r>
      <w:r w:rsidR="008F257A">
        <w:rPr>
          <w:szCs w:val="24"/>
        </w:rPr>
        <w:t xml:space="preserve"> la matriz de riesgos seleccionada</w:t>
      </w:r>
      <w:r w:rsidRPr="00642ACC">
        <w:rPr>
          <w:szCs w:val="24"/>
        </w:rPr>
        <w:t xml:space="preserve">: </w:t>
      </w:r>
    </w:p>
    <w:tbl>
      <w:tblPr>
        <w:tblStyle w:val="Tablaconcuadrcula2"/>
        <w:tblW w:w="0" w:type="auto"/>
        <w:jc w:val="center"/>
        <w:tblLook w:val="04A0" w:firstRow="1" w:lastRow="0" w:firstColumn="1" w:lastColumn="0" w:noHBand="0" w:noVBand="1"/>
      </w:tblPr>
      <w:tblGrid>
        <w:gridCol w:w="608"/>
        <w:gridCol w:w="7467"/>
      </w:tblGrid>
      <w:tr w:rsidR="00355D8A" w:rsidRPr="00355D8A" w14:paraId="3CFF942D" w14:textId="77777777" w:rsidTr="00BB6E11">
        <w:trPr>
          <w:jc w:val="center"/>
        </w:trPr>
        <w:tc>
          <w:tcPr>
            <w:tcW w:w="608" w:type="dxa"/>
          </w:tcPr>
          <w:p w14:paraId="441C3919" w14:textId="77777777" w:rsidR="00355D8A" w:rsidRPr="00355D8A" w:rsidRDefault="00355D8A" w:rsidP="00355D8A">
            <w:pPr>
              <w:spacing w:before="0" w:line="240" w:lineRule="auto"/>
              <w:ind w:firstLine="0"/>
              <w:jc w:val="both"/>
              <w:rPr>
                <w:rFonts w:ascii="Times New Roman" w:hAnsi="Times New Roman" w:cs="Times New Roman"/>
                <w:b/>
                <w:bCs/>
                <w:sz w:val="16"/>
                <w:szCs w:val="16"/>
                <w:lang w:val="es-CO" w:eastAsia="es-MX"/>
              </w:rPr>
            </w:pPr>
            <w:r w:rsidRPr="00355D8A">
              <w:rPr>
                <w:rFonts w:ascii="Times New Roman" w:hAnsi="Times New Roman" w:cs="Times New Roman"/>
                <w:b/>
                <w:bCs/>
                <w:sz w:val="16"/>
                <w:szCs w:val="16"/>
                <w:lang w:val="es-CO" w:eastAsia="es-MX"/>
              </w:rPr>
              <w:t>Regla</w:t>
            </w:r>
          </w:p>
        </w:tc>
        <w:tc>
          <w:tcPr>
            <w:tcW w:w="7467" w:type="dxa"/>
          </w:tcPr>
          <w:p w14:paraId="09C7471B" w14:textId="77777777" w:rsidR="00355D8A" w:rsidRPr="00355D8A" w:rsidRDefault="00355D8A" w:rsidP="00355D8A">
            <w:pPr>
              <w:spacing w:before="0" w:line="240" w:lineRule="auto"/>
              <w:ind w:firstLine="0"/>
              <w:jc w:val="both"/>
              <w:rPr>
                <w:rFonts w:ascii="Times New Roman" w:hAnsi="Times New Roman" w:cs="Times New Roman"/>
                <w:b/>
                <w:bCs/>
                <w:sz w:val="16"/>
                <w:szCs w:val="16"/>
                <w:lang w:val="es-CO" w:eastAsia="es-MX"/>
              </w:rPr>
            </w:pPr>
            <w:r w:rsidRPr="00355D8A">
              <w:rPr>
                <w:rFonts w:ascii="Times New Roman" w:hAnsi="Times New Roman" w:cs="Times New Roman"/>
                <w:b/>
                <w:bCs/>
                <w:sz w:val="16"/>
                <w:szCs w:val="16"/>
                <w:lang w:val="es-CO" w:eastAsia="es-MX"/>
              </w:rPr>
              <w:t>Descripción</w:t>
            </w:r>
          </w:p>
        </w:tc>
      </w:tr>
      <w:tr w:rsidR="00355D8A" w:rsidRPr="00BB6E11" w14:paraId="44B851CB" w14:textId="77777777" w:rsidTr="00BB6E11">
        <w:trPr>
          <w:jc w:val="center"/>
        </w:trPr>
        <w:tc>
          <w:tcPr>
            <w:tcW w:w="608" w:type="dxa"/>
          </w:tcPr>
          <w:p w14:paraId="33E4531F"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lastRenderedPageBreak/>
              <w:t>1</w:t>
            </w:r>
          </w:p>
        </w:tc>
        <w:tc>
          <w:tcPr>
            <w:tcW w:w="7467" w:type="dxa"/>
          </w:tcPr>
          <w:p w14:paraId="59559EC2"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LOW and the impact is LOW, THEN the risk level IS LOW</w:t>
            </w:r>
          </w:p>
        </w:tc>
      </w:tr>
      <w:tr w:rsidR="00355D8A" w:rsidRPr="00BB6E11" w14:paraId="3BC2EDEA" w14:textId="77777777" w:rsidTr="00BB6E11">
        <w:trPr>
          <w:jc w:val="center"/>
        </w:trPr>
        <w:tc>
          <w:tcPr>
            <w:tcW w:w="608" w:type="dxa"/>
          </w:tcPr>
          <w:p w14:paraId="6E26A000"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w:t>
            </w:r>
          </w:p>
        </w:tc>
        <w:tc>
          <w:tcPr>
            <w:tcW w:w="7467" w:type="dxa"/>
          </w:tcPr>
          <w:p w14:paraId="5AD5163C"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LOW and the impact is MEDIUM-LOW, THEN the risk level IS LOW</w:t>
            </w:r>
          </w:p>
        </w:tc>
      </w:tr>
      <w:tr w:rsidR="00355D8A" w:rsidRPr="00BB6E11" w14:paraId="1DD1417C" w14:textId="77777777" w:rsidTr="00BB6E11">
        <w:trPr>
          <w:jc w:val="center"/>
        </w:trPr>
        <w:tc>
          <w:tcPr>
            <w:tcW w:w="608" w:type="dxa"/>
          </w:tcPr>
          <w:p w14:paraId="402DF5FC"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3</w:t>
            </w:r>
          </w:p>
        </w:tc>
        <w:tc>
          <w:tcPr>
            <w:tcW w:w="7467" w:type="dxa"/>
          </w:tcPr>
          <w:p w14:paraId="3E42A56E"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LOW and the impact is MEDIUM, THEN the risk level IS LOW</w:t>
            </w:r>
          </w:p>
        </w:tc>
      </w:tr>
      <w:tr w:rsidR="00355D8A" w:rsidRPr="00BB6E11" w14:paraId="7760875B" w14:textId="77777777" w:rsidTr="00BB6E11">
        <w:trPr>
          <w:jc w:val="center"/>
        </w:trPr>
        <w:tc>
          <w:tcPr>
            <w:tcW w:w="608" w:type="dxa"/>
          </w:tcPr>
          <w:p w14:paraId="7FC9E153"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4</w:t>
            </w:r>
          </w:p>
        </w:tc>
        <w:tc>
          <w:tcPr>
            <w:tcW w:w="7467" w:type="dxa"/>
          </w:tcPr>
          <w:p w14:paraId="7ED61E97"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LOW and the impact is MEDIUM-HIGH, THEN the risk level IS MEDIUM</w:t>
            </w:r>
          </w:p>
        </w:tc>
      </w:tr>
      <w:tr w:rsidR="00355D8A" w:rsidRPr="00BB6E11" w14:paraId="156B2178" w14:textId="77777777" w:rsidTr="00BB6E11">
        <w:trPr>
          <w:jc w:val="center"/>
        </w:trPr>
        <w:tc>
          <w:tcPr>
            <w:tcW w:w="608" w:type="dxa"/>
          </w:tcPr>
          <w:p w14:paraId="4D359BAE"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5</w:t>
            </w:r>
          </w:p>
        </w:tc>
        <w:tc>
          <w:tcPr>
            <w:tcW w:w="7467" w:type="dxa"/>
          </w:tcPr>
          <w:p w14:paraId="1CA23229"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LOW and the impact is HIGH, THEN the risk level IS MEDIUM</w:t>
            </w:r>
          </w:p>
        </w:tc>
      </w:tr>
      <w:tr w:rsidR="00355D8A" w:rsidRPr="00BB6E11" w14:paraId="1C21839B" w14:textId="77777777" w:rsidTr="00BB6E11">
        <w:trPr>
          <w:jc w:val="center"/>
        </w:trPr>
        <w:tc>
          <w:tcPr>
            <w:tcW w:w="608" w:type="dxa"/>
          </w:tcPr>
          <w:p w14:paraId="49EFB283"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6</w:t>
            </w:r>
          </w:p>
        </w:tc>
        <w:tc>
          <w:tcPr>
            <w:tcW w:w="7467" w:type="dxa"/>
          </w:tcPr>
          <w:p w14:paraId="0BA03518"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MEDIUM-LOW and the impact is LOW, THEN the risk level IS LOW</w:t>
            </w:r>
          </w:p>
        </w:tc>
      </w:tr>
      <w:tr w:rsidR="00355D8A" w:rsidRPr="00BB6E11" w14:paraId="2B31F3A0" w14:textId="77777777" w:rsidTr="00BB6E11">
        <w:trPr>
          <w:jc w:val="center"/>
        </w:trPr>
        <w:tc>
          <w:tcPr>
            <w:tcW w:w="608" w:type="dxa"/>
          </w:tcPr>
          <w:p w14:paraId="4CC29964"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7</w:t>
            </w:r>
          </w:p>
        </w:tc>
        <w:tc>
          <w:tcPr>
            <w:tcW w:w="7467" w:type="dxa"/>
          </w:tcPr>
          <w:p w14:paraId="60836120"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MEDIUM-LOW and the impact is MEDIUM-LOW, THEN the risk level IS LOW</w:t>
            </w:r>
          </w:p>
        </w:tc>
      </w:tr>
      <w:tr w:rsidR="00355D8A" w:rsidRPr="00BB6E11" w14:paraId="566C5E5B" w14:textId="77777777" w:rsidTr="00BB6E11">
        <w:trPr>
          <w:jc w:val="center"/>
        </w:trPr>
        <w:tc>
          <w:tcPr>
            <w:tcW w:w="608" w:type="dxa"/>
          </w:tcPr>
          <w:p w14:paraId="365C034A"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8</w:t>
            </w:r>
          </w:p>
        </w:tc>
        <w:tc>
          <w:tcPr>
            <w:tcW w:w="7467" w:type="dxa"/>
          </w:tcPr>
          <w:p w14:paraId="02F6F046"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MEDIUM-LOW and the impact is MEDIUM, THEN the risk level IS MEDIUM</w:t>
            </w:r>
          </w:p>
        </w:tc>
      </w:tr>
      <w:tr w:rsidR="00355D8A" w:rsidRPr="00BB6E11" w14:paraId="0488318A" w14:textId="77777777" w:rsidTr="00BB6E11">
        <w:trPr>
          <w:jc w:val="center"/>
        </w:trPr>
        <w:tc>
          <w:tcPr>
            <w:tcW w:w="608" w:type="dxa"/>
          </w:tcPr>
          <w:p w14:paraId="166CBA5B"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9</w:t>
            </w:r>
          </w:p>
        </w:tc>
        <w:tc>
          <w:tcPr>
            <w:tcW w:w="7467" w:type="dxa"/>
          </w:tcPr>
          <w:p w14:paraId="6435F1C0"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MEDIUM-LOW and the impact is MEDIUM-HIGH, THEN the risk level IS MEDIUM</w:t>
            </w:r>
          </w:p>
        </w:tc>
      </w:tr>
      <w:tr w:rsidR="00355D8A" w:rsidRPr="00BB6E11" w14:paraId="7DCDC001" w14:textId="77777777" w:rsidTr="00BB6E11">
        <w:trPr>
          <w:jc w:val="center"/>
        </w:trPr>
        <w:tc>
          <w:tcPr>
            <w:tcW w:w="608" w:type="dxa"/>
          </w:tcPr>
          <w:p w14:paraId="77E125FD"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10</w:t>
            </w:r>
          </w:p>
        </w:tc>
        <w:tc>
          <w:tcPr>
            <w:tcW w:w="7467" w:type="dxa"/>
          </w:tcPr>
          <w:p w14:paraId="137B5738"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MEDIUM-LOW and the impact is HIGH, THEN the risk level IS HIGH</w:t>
            </w:r>
          </w:p>
        </w:tc>
      </w:tr>
      <w:tr w:rsidR="00355D8A" w:rsidRPr="00BB6E11" w14:paraId="7E78AD20" w14:textId="77777777" w:rsidTr="00BB6E11">
        <w:trPr>
          <w:jc w:val="center"/>
        </w:trPr>
        <w:tc>
          <w:tcPr>
            <w:tcW w:w="608" w:type="dxa"/>
          </w:tcPr>
          <w:p w14:paraId="594BDD33"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11</w:t>
            </w:r>
          </w:p>
        </w:tc>
        <w:tc>
          <w:tcPr>
            <w:tcW w:w="7467" w:type="dxa"/>
          </w:tcPr>
          <w:p w14:paraId="4E71CAAA"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 and the impact is LOW, THEN the risk level IS LOW</w:t>
            </w:r>
          </w:p>
        </w:tc>
      </w:tr>
      <w:tr w:rsidR="00355D8A" w:rsidRPr="00BB6E11" w14:paraId="00D6C8A0" w14:textId="77777777" w:rsidTr="00BB6E11">
        <w:trPr>
          <w:jc w:val="center"/>
        </w:trPr>
        <w:tc>
          <w:tcPr>
            <w:tcW w:w="608" w:type="dxa"/>
          </w:tcPr>
          <w:p w14:paraId="7696AEDD"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12</w:t>
            </w:r>
          </w:p>
        </w:tc>
        <w:tc>
          <w:tcPr>
            <w:tcW w:w="7467" w:type="dxa"/>
          </w:tcPr>
          <w:p w14:paraId="0DBF5970"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 and the impact is MEDIUM-LOW, THEN the risk level IS LOW</w:t>
            </w:r>
          </w:p>
        </w:tc>
      </w:tr>
      <w:tr w:rsidR="00355D8A" w:rsidRPr="00BB6E11" w14:paraId="136A75C6" w14:textId="77777777" w:rsidTr="00BB6E11">
        <w:trPr>
          <w:jc w:val="center"/>
        </w:trPr>
        <w:tc>
          <w:tcPr>
            <w:tcW w:w="608" w:type="dxa"/>
          </w:tcPr>
          <w:p w14:paraId="4ADB58AC"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13</w:t>
            </w:r>
          </w:p>
        </w:tc>
        <w:tc>
          <w:tcPr>
            <w:tcW w:w="7467" w:type="dxa"/>
          </w:tcPr>
          <w:p w14:paraId="5BE5A151"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 and the impact is MEDIUM, THEN the risk level IS MEDIUM</w:t>
            </w:r>
          </w:p>
        </w:tc>
      </w:tr>
      <w:tr w:rsidR="00355D8A" w:rsidRPr="00BB6E11" w14:paraId="16EFF2D7" w14:textId="77777777" w:rsidTr="00BB6E11">
        <w:trPr>
          <w:jc w:val="center"/>
        </w:trPr>
        <w:tc>
          <w:tcPr>
            <w:tcW w:w="608" w:type="dxa"/>
          </w:tcPr>
          <w:p w14:paraId="7634DC22"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14</w:t>
            </w:r>
          </w:p>
        </w:tc>
        <w:tc>
          <w:tcPr>
            <w:tcW w:w="7467" w:type="dxa"/>
          </w:tcPr>
          <w:p w14:paraId="64EDEED3"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 and the impact is MEDIUM.HIGH, THEN the risk level IS HIGH</w:t>
            </w:r>
          </w:p>
        </w:tc>
      </w:tr>
      <w:tr w:rsidR="00355D8A" w:rsidRPr="00BB6E11" w14:paraId="74537FD2" w14:textId="77777777" w:rsidTr="00BB6E11">
        <w:trPr>
          <w:jc w:val="center"/>
        </w:trPr>
        <w:tc>
          <w:tcPr>
            <w:tcW w:w="608" w:type="dxa"/>
          </w:tcPr>
          <w:p w14:paraId="0E43E1F3"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15</w:t>
            </w:r>
          </w:p>
        </w:tc>
        <w:tc>
          <w:tcPr>
            <w:tcW w:w="7467" w:type="dxa"/>
          </w:tcPr>
          <w:p w14:paraId="5D3FD176"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 and the impact is HIGH, THEN the risk level IS HIGH</w:t>
            </w:r>
          </w:p>
        </w:tc>
      </w:tr>
      <w:tr w:rsidR="00355D8A" w:rsidRPr="00BB6E11" w14:paraId="0D341B62" w14:textId="77777777" w:rsidTr="00BB6E11">
        <w:trPr>
          <w:jc w:val="center"/>
        </w:trPr>
        <w:tc>
          <w:tcPr>
            <w:tcW w:w="608" w:type="dxa"/>
          </w:tcPr>
          <w:p w14:paraId="425B80F8"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16</w:t>
            </w:r>
          </w:p>
        </w:tc>
        <w:tc>
          <w:tcPr>
            <w:tcW w:w="7467" w:type="dxa"/>
          </w:tcPr>
          <w:p w14:paraId="4B6F704D"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MEDIUM-HIGH and the impact is LOW, THEN the risk level IS LOW</w:t>
            </w:r>
          </w:p>
        </w:tc>
      </w:tr>
      <w:tr w:rsidR="00355D8A" w:rsidRPr="00BB6E11" w14:paraId="2937C325" w14:textId="77777777" w:rsidTr="00BB6E11">
        <w:trPr>
          <w:jc w:val="center"/>
        </w:trPr>
        <w:tc>
          <w:tcPr>
            <w:tcW w:w="608" w:type="dxa"/>
          </w:tcPr>
          <w:p w14:paraId="230B372D"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17</w:t>
            </w:r>
          </w:p>
        </w:tc>
        <w:tc>
          <w:tcPr>
            <w:tcW w:w="7467" w:type="dxa"/>
          </w:tcPr>
          <w:p w14:paraId="00507226"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MEDIUM-HIGH and the impact is MEDIUM-LOW, THEN the risk level IS MEDIUM</w:t>
            </w:r>
          </w:p>
        </w:tc>
      </w:tr>
      <w:tr w:rsidR="00355D8A" w:rsidRPr="00BB6E11" w14:paraId="6269AE53" w14:textId="77777777" w:rsidTr="00BB6E11">
        <w:trPr>
          <w:jc w:val="center"/>
        </w:trPr>
        <w:tc>
          <w:tcPr>
            <w:tcW w:w="608" w:type="dxa"/>
          </w:tcPr>
          <w:p w14:paraId="5B4623C7"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18</w:t>
            </w:r>
          </w:p>
        </w:tc>
        <w:tc>
          <w:tcPr>
            <w:tcW w:w="7467" w:type="dxa"/>
          </w:tcPr>
          <w:p w14:paraId="2CD78081"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MEDIUM-HIGH and the impact is MEDIUM, THEN the risk level IS MEDIUM</w:t>
            </w:r>
          </w:p>
        </w:tc>
      </w:tr>
      <w:tr w:rsidR="00355D8A" w:rsidRPr="00BB6E11" w14:paraId="3098B41A" w14:textId="77777777" w:rsidTr="00BB6E11">
        <w:trPr>
          <w:jc w:val="center"/>
        </w:trPr>
        <w:tc>
          <w:tcPr>
            <w:tcW w:w="608" w:type="dxa"/>
          </w:tcPr>
          <w:p w14:paraId="0B51A1B6"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19</w:t>
            </w:r>
          </w:p>
        </w:tc>
        <w:tc>
          <w:tcPr>
            <w:tcW w:w="7467" w:type="dxa"/>
          </w:tcPr>
          <w:p w14:paraId="55B58ABF"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MEDIUM-HIGH and the impact is MEDIUM-HIGH, THEN the risk level IS HIGH</w:t>
            </w:r>
          </w:p>
        </w:tc>
      </w:tr>
      <w:tr w:rsidR="00355D8A" w:rsidRPr="00BB6E11" w14:paraId="72339720" w14:textId="77777777" w:rsidTr="00BB6E11">
        <w:trPr>
          <w:jc w:val="center"/>
        </w:trPr>
        <w:tc>
          <w:tcPr>
            <w:tcW w:w="608" w:type="dxa"/>
          </w:tcPr>
          <w:p w14:paraId="6D4226CE"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20</w:t>
            </w:r>
          </w:p>
        </w:tc>
        <w:tc>
          <w:tcPr>
            <w:tcW w:w="7467" w:type="dxa"/>
          </w:tcPr>
          <w:p w14:paraId="1DD7931E"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MEDIUM-HIGH and the impact is HIGH, THEN the risk level IS CRITICAL</w:t>
            </w:r>
          </w:p>
        </w:tc>
      </w:tr>
      <w:tr w:rsidR="00355D8A" w:rsidRPr="00BB6E11" w14:paraId="6830D464" w14:textId="77777777" w:rsidTr="00BB6E11">
        <w:trPr>
          <w:jc w:val="center"/>
        </w:trPr>
        <w:tc>
          <w:tcPr>
            <w:tcW w:w="608" w:type="dxa"/>
          </w:tcPr>
          <w:p w14:paraId="40398D6D"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21</w:t>
            </w:r>
          </w:p>
        </w:tc>
        <w:tc>
          <w:tcPr>
            <w:tcW w:w="7467" w:type="dxa"/>
          </w:tcPr>
          <w:p w14:paraId="7AF37087"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HIGH and the impact is LOW, THEN the risk level IS LOW</w:t>
            </w:r>
          </w:p>
        </w:tc>
      </w:tr>
      <w:tr w:rsidR="00355D8A" w:rsidRPr="00BB6E11" w14:paraId="5E7951C4" w14:textId="77777777" w:rsidTr="00BB6E11">
        <w:trPr>
          <w:jc w:val="center"/>
        </w:trPr>
        <w:tc>
          <w:tcPr>
            <w:tcW w:w="608" w:type="dxa"/>
          </w:tcPr>
          <w:p w14:paraId="3450E927"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22</w:t>
            </w:r>
          </w:p>
        </w:tc>
        <w:tc>
          <w:tcPr>
            <w:tcW w:w="7467" w:type="dxa"/>
          </w:tcPr>
          <w:p w14:paraId="1F0D5B6E"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HIGH and the impact is MEDIUM-LOW, THEN the risk level IS MEDIUM</w:t>
            </w:r>
          </w:p>
        </w:tc>
      </w:tr>
      <w:tr w:rsidR="00355D8A" w:rsidRPr="00BB6E11" w14:paraId="708BC82C" w14:textId="77777777" w:rsidTr="00BB6E11">
        <w:trPr>
          <w:jc w:val="center"/>
        </w:trPr>
        <w:tc>
          <w:tcPr>
            <w:tcW w:w="608" w:type="dxa"/>
          </w:tcPr>
          <w:p w14:paraId="6F42BEFE"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23</w:t>
            </w:r>
          </w:p>
        </w:tc>
        <w:tc>
          <w:tcPr>
            <w:tcW w:w="7467" w:type="dxa"/>
          </w:tcPr>
          <w:p w14:paraId="6EA5FA9A"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HIGH and the impact is MEDIUM, THEN the risk level IS HIGH</w:t>
            </w:r>
          </w:p>
        </w:tc>
      </w:tr>
      <w:tr w:rsidR="00355D8A" w:rsidRPr="00BB6E11" w14:paraId="15146300" w14:textId="77777777" w:rsidTr="00BB6E11">
        <w:trPr>
          <w:jc w:val="center"/>
        </w:trPr>
        <w:tc>
          <w:tcPr>
            <w:tcW w:w="608" w:type="dxa"/>
          </w:tcPr>
          <w:p w14:paraId="3D8B4548"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24</w:t>
            </w:r>
          </w:p>
        </w:tc>
        <w:tc>
          <w:tcPr>
            <w:tcW w:w="7467" w:type="dxa"/>
          </w:tcPr>
          <w:p w14:paraId="22EDBA64"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HIGH and the impact is MEDIUM.HIGH, THEN the risk level IS CRITICAL</w:t>
            </w:r>
          </w:p>
        </w:tc>
      </w:tr>
      <w:tr w:rsidR="00355D8A" w:rsidRPr="00BB6E11" w14:paraId="2CD43E73" w14:textId="77777777" w:rsidTr="00BB6E11">
        <w:trPr>
          <w:jc w:val="center"/>
        </w:trPr>
        <w:tc>
          <w:tcPr>
            <w:tcW w:w="608" w:type="dxa"/>
          </w:tcPr>
          <w:p w14:paraId="4A26B437" w14:textId="77777777" w:rsidR="00355D8A" w:rsidRPr="00355D8A" w:rsidRDefault="00355D8A" w:rsidP="00355D8A">
            <w:pPr>
              <w:spacing w:before="0" w:line="240" w:lineRule="auto"/>
              <w:ind w:firstLine="0"/>
              <w:jc w:val="both"/>
              <w:rPr>
                <w:rFonts w:ascii="Times New Roman" w:hAnsi="Times New Roman" w:cs="Times New Roman"/>
                <w:sz w:val="16"/>
                <w:szCs w:val="16"/>
                <w:lang w:val="es-CO" w:eastAsia="es-MX"/>
              </w:rPr>
            </w:pPr>
            <w:r w:rsidRPr="00355D8A">
              <w:rPr>
                <w:rFonts w:ascii="Times New Roman" w:hAnsi="Times New Roman" w:cs="Times New Roman"/>
                <w:sz w:val="16"/>
                <w:szCs w:val="16"/>
                <w:lang w:val="es-CO" w:eastAsia="es-MX"/>
              </w:rPr>
              <w:t>25</w:t>
            </w:r>
          </w:p>
        </w:tc>
        <w:tc>
          <w:tcPr>
            <w:tcW w:w="7467" w:type="dxa"/>
          </w:tcPr>
          <w:p w14:paraId="49DC8B2E" w14:textId="77777777" w:rsidR="00355D8A" w:rsidRPr="00355D8A" w:rsidRDefault="00355D8A" w:rsidP="00355D8A">
            <w:pPr>
              <w:spacing w:before="0" w:line="240" w:lineRule="auto"/>
              <w:ind w:firstLine="0"/>
              <w:jc w:val="both"/>
              <w:rPr>
                <w:rFonts w:ascii="Times New Roman" w:hAnsi="Times New Roman" w:cs="Times New Roman"/>
                <w:sz w:val="16"/>
                <w:szCs w:val="16"/>
                <w:lang w:val="en-US" w:eastAsia="es-MX"/>
              </w:rPr>
            </w:pPr>
            <w:r w:rsidRPr="00355D8A">
              <w:rPr>
                <w:rFonts w:ascii="Times New Roman" w:hAnsi="Times New Roman" w:cs="Times New Roman"/>
                <w:sz w:val="16"/>
                <w:szCs w:val="16"/>
                <w:lang w:val="en-US" w:eastAsia="es-MX"/>
              </w:rPr>
              <w:t>IF the likelihood is HIGH and the impact is HIGH, THEN the risk level IS CRITICAL</w:t>
            </w:r>
          </w:p>
        </w:tc>
      </w:tr>
    </w:tbl>
    <w:p w14:paraId="2F9D5A3C" w14:textId="3F91FBC5" w:rsidR="00445317" w:rsidRPr="00E0372D" w:rsidRDefault="00445317" w:rsidP="00445317">
      <w:pPr>
        <w:spacing w:before="0" w:line="240" w:lineRule="auto"/>
        <w:jc w:val="center"/>
        <w:rPr>
          <w:sz w:val="16"/>
          <w:szCs w:val="16"/>
        </w:rPr>
      </w:pPr>
      <w:bookmarkStart w:id="45" w:name="_Toc134470844"/>
      <w:r w:rsidRPr="00445317">
        <w:rPr>
          <w:sz w:val="16"/>
          <w:szCs w:val="16"/>
          <w:lang w:eastAsia="es-ES_tradnl"/>
        </w:rPr>
        <w:t xml:space="preserve">Tabla </w:t>
      </w:r>
      <w:r w:rsidRPr="00445317">
        <w:rPr>
          <w:sz w:val="16"/>
          <w:szCs w:val="16"/>
          <w:lang w:eastAsia="es-ES_tradnl"/>
        </w:rPr>
        <w:fldChar w:fldCharType="begin"/>
      </w:r>
      <w:r w:rsidRPr="00445317">
        <w:rPr>
          <w:sz w:val="16"/>
          <w:szCs w:val="16"/>
          <w:lang w:eastAsia="es-ES_tradnl"/>
        </w:rPr>
        <w:instrText xml:space="preserve"> SEQ Tabla \* ARABIC </w:instrText>
      </w:r>
      <w:r w:rsidRPr="00445317">
        <w:rPr>
          <w:sz w:val="16"/>
          <w:szCs w:val="16"/>
          <w:lang w:eastAsia="es-ES_tradnl"/>
        </w:rPr>
        <w:fldChar w:fldCharType="separate"/>
      </w:r>
      <w:r w:rsidR="00036BF0">
        <w:rPr>
          <w:noProof/>
          <w:sz w:val="16"/>
          <w:szCs w:val="16"/>
          <w:lang w:eastAsia="es-ES_tradnl"/>
        </w:rPr>
        <w:t>5</w:t>
      </w:r>
      <w:r w:rsidRPr="00445317">
        <w:rPr>
          <w:sz w:val="16"/>
          <w:szCs w:val="16"/>
          <w:lang w:eastAsia="es-ES_tradnl"/>
        </w:rPr>
        <w:fldChar w:fldCharType="end"/>
      </w:r>
      <w:r w:rsidRPr="00445317">
        <w:rPr>
          <w:sz w:val="16"/>
          <w:szCs w:val="16"/>
          <w:lang w:eastAsia="es-ES_tradnl"/>
        </w:rPr>
        <w:t>. Conjunto de reglas difusas</w:t>
      </w:r>
      <w:r>
        <w:rPr>
          <w:sz w:val="16"/>
          <w:szCs w:val="16"/>
          <w:lang w:eastAsia="es-ES_tradnl"/>
        </w:rPr>
        <w:t>.</w:t>
      </w:r>
      <w:r w:rsidRPr="00445317">
        <w:rPr>
          <w:sz w:val="16"/>
          <w:szCs w:val="16"/>
          <w:lang w:eastAsia="es-ES_tradnl"/>
        </w:rPr>
        <w:t xml:space="preserve"> </w:t>
      </w:r>
      <w:r w:rsidRPr="00396844">
        <w:rPr>
          <w:sz w:val="16"/>
          <w:szCs w:val="16"/>
          <w:lang w:eastAsia="es-ES_tradnl"/>
        </w:rPr>
        <w:t xml:space="preserve">Fuente: elaboración propia a partir de </w:t>
      </w:r>
      <w:r>
        <w:rPr>
          <w:sz w:val="16"/>
          <w:szCs w:val="16"/>
          <w:lang w:eastAsia="es-ES_tradnl"/>
        </w:rPr>
        <w:t>la validación con los expertos</w:t>
      </w:r>
      <w:bookmarkEnd w:id="45"/>
    </w:p>
    <w:p w14:paraId="2FFF37D6" w14:textId="429B7781" w:rsidR="00445317" w:rsidRPr="00445317" w:rsidRDefault="00445317" w:rsidP="00445317">
      <w:pPr>
        <w:spacing w:before="0" w:line="240" w:lineRule="auto"/>
        <w:jc w:val="center"/>
        <w:rPr>
          <w:sz w:val="16"/>
          <w:szCs w:val="16"/>
          <w:lang w:eastAsia="es-ES_tradnl"/>
        </w:rPr>
      </w:pPr>
    </w:p>
    <w:p w14:paraId="39F28082" w14:textId="58F41D62" w:rsidR="009106E2" w:rsidRDefault="00152ED9" w:rsidP="00A056C1">
      <w:pPr>
        <w:jc w:val="both"/>
        <w:rPr>
          <w:lang w:val="es-CO" w:eastAsia="es-ES"/>
        </w:rPr>
      </w:pPr>
      <w:r>
        <w:rPr>
          <w:lang w:val="es-CO" w:eastAsia="es-ES"/>
        </w:rPr>
        <w:t>Luego, para traducir las reglas cualitativas en un resultado cuantitativo, se debe aplicar un algoritmo de inferencia</w:t>
      </w:r>
      <w:r w:rsidR="00355D8A">
        <w:rPr>
          <w:lang w:val="es-CO" w:eastAsia="es-ES"/>
        </w:rPr>
        <w:t>, e</w:t>
      </w:r>
      <w:r>
        <w:rPr>
          <w:lang w:val="es-CO" w:eastAsia="es-ES"/>
        </w:rPr>
        <w:t xml:space="preserve">n este caso particular se utilizó el algoritmo de </w:t>
      </w:r>
      <w:proofErr w:type="spellStart"/>
      <w:r>
        <w:rPr>
          <w:lang w:val="es-CO" w:eastAsia="es-ES"/>
        </w:rPr>
        <w:t>Ma</w:t>
      </w:r>
      <w:r w:rsidR="00900D7E">
        <w:rPr>
          <w:lang w:val="es-CO" w:eastAsia="es-ES"/>
        </w:rPr>
        <w:t>m</w:t>
      </w:r>
      <w:r>
        <w:rPr>
          <w:lang w:val="es-CO" w:eastAsia="es-ES"/>
        </w:rPr>
        <w:t>dani</w:t>
      </w:r>
      <w:proofErr w:type="spellEnd"/>
      <w:r w:rsidR="00C15207">
        <w:rPr>
          <w:lang w:val="es-CO" w:eastAsia="es-ES"/>
        </w:rPr>
        <w:t>, ya que ha sido usado con éxito en otros problemas relacionados con gestión de riesgos</w:t>
      </w:r>
      <w:r w:rsidR="00155004">
        <w:rPr>
          <w:lang w:val="es-CO" w:eastAsia="es-ES"/>
        </w:rPr>
        <w:t xml:space="preserve"> usando matrices de riesgo</w:t>
      </w:r>
      <w:r w:rsidR="00C15207">
        <w:rPr>
          <w:lang w:val="es-CO" w:eastAsia="es-ES"/>
        </w:rPr>
        <w:t xml:space="preserve">, y además, la naturaleza del algoritmo </w:t>
      </w:r>
      <w:proofErr w:type="spellStart"/>
      <w:r w:rsidR="00C15207">
        <w:rPr>
          <w:lang w:val="es-CO" w:eastAsia="es-ES"/>
        </w:rPr>
        <w:t>Mamdani</w:t>
      </w:r>
      <w:proofErr w:type="spellEnd"/>
      <w:r w:rsidR="00C15207">
        <w:rPr>
          <w:lang w:val="es-CO" w:eastAsia="es-ES"/>
        </w:rPr>
        <w:t xml:space="preserve"> permite una mayor flexibilidad en la definición de los riesgos por parte de los expertos </w:t>
      </w:r>
      <w:r w:rsidR="00C15207">
        <w:rPr>
          <w:lang w:val="es-CO" w:eastAsia="es-ES"/>
        </w:rPr>
        <w:fldChar w:fldCharType="begin" w:fldLock="1"/>
      </w:r>
      <w:r w:rsidR="00C15207">
        <w:rPr>
          <w:lang w:val="es-CO" w:eastAsia="es-ES"/>
        </w:rPr>
        <w:instrText>ADDIN CSL_CITATION {"citationItems":[{"id":"ITEM-1","itemData":{"DOI":"10.1016/j.jhazmat.2008.03.055","ISSN":"03043894","PMID":"18440700","abstract":"A risk matrix is a mechanism to characterize and rank process risks that are typically identified through one or more multifunctional reviews (e.g., process hazard analysis, audits, or incident investigation). This paper describes a procedure for developing a fuzzy risk matrix that may be used for emerging fuzzy logic applications in different safety analyses (e.g., LOPA). The fuzzification of frequency and severity of the consequences of the incident scenario are described which are basic inputs for fuzzy risk matrix. Subsequently using different design of risk matrix, fuzzy rules are established enabling the development of fuzzy risk matrices. Three types of fuzzy risk matrix have been developed (low-cost, standard, and high-cost), and using a distillation column case study, the effect of the design on final defuzzified risk index is demonstrated. © 2008 Elsevier B.V. All rights reserved.","author":[{"dropping-particle":"","family":"Markowski","given":"Adam S.","non-dropping-particle":"","parse-names":false,"suffix":""},{"dropping-particle":"","family":"Mannan","given":"M. Sam","non-dropping-particle":"","parse-names":false,"suffix":""}],"container-title":"Journal of Hazardous Materials","id":"ITEM-1","issue":"1","issued":{"date-parts":[["2008"]]},"page":"152-157","title":"Fuzzy risk matrix","type":"article-journal","volume":"159"},"uris":["http://www.mendeley.com/documents/?uuid=5c2eb26f-5d00-456b-be9b-119186ef3b9d"]}],"mendeley":{"formattedCitation":"(Markowski &amp; Mannan, 2008)","plainTextFormattedCitation":"(Markowski &amp; Mannan, 2008)","previouslyFormattedCitation":"(Markowski &amp; Mannan, 2008)"},"properties":{"noteIndex":0},"schema":"https://github.com/citation-style-language/schema/raw/master/csl-citation.json"}</w:instrText>
      </w:r>
      <w:r w:rsidR="00C15207">
        <w:rPr>
          <w:lang w:val="es-CO" w:eastAsia="es-ES"/>
        </w:rPr>
        <w:fldChar w:fldCharType="separate"/>
      </w:r>
      <w:r w:rsidR="00C15207" w:rsidRPr="00C15207">
        <w:rPr>
          <w:noProof/>
          <w:lang w:val="es-CO" w:eastAsia="es-ES"/>
        </w:rPr>
        <w:t>(Markowski &amp; Mannan, 2008)</w:t>
      </w:r>
      <w:r w:rsidR="00C15207">
        <w:rPr>
          <w:lang w:val="es-CO" w:eastAsia="es-ES"/>
        </w:rPr>
        <w:fldChar w:fldCharType="end"/>
      </w:r>
      <w:r>
        <w:rPr>
          <w:lang w:val="es-CO" w:eastAsia="es-ES"/>
        </w:rPr>
        <w:t>.</w:t>
      </w:r>
      <w:r w:rsidR="00C15207">
        <w:rPr>
          <w:lang w:val="es-CO" w:eastAsia="es-ES"/>
        </w:rPr>
        <w:t xml:space="preserve"> </w:t>
      </w:r>
      <w:r>
        <w:rPr>
          <w:lang w:val="es-CO" w:eastAsia="es-ES"/>
        </w:rPr>
        <w:t xml:space="preserve"> </w:t>
      </w:r>
    </w:p>
    <w:p w14:paraId="246EB54E" w14:textId="42DBE65C" w:rsidR="00152ED9" w:rsidRDefault="00152ED9" w:rsidP="00043453">
      <w:pPr>
        <w:rPr>
          <w:b/>
          <w:bCs/>
          <w:lang w:val="es-CO" w:eastAsia="es-ES"/>
        </w:rPr>
      </w:pPr>
      <w:proofErr w:type="spellStart"/>
      <w:r>
        <w:rPr>
          <w:b/>
          <w:bCs/>
          <w:lang w:val="es-CO" w:eastAsia="es-ES"/>
        </w:rPr>
        <w:t>Defuzzificación</w:t>
      </w:r>
      <w:proofErr w:type="spellEnd"/>
    </w:p>
    <w:p w14:paraId="76126335" w14:textId="55E5442E" w:rsidR="00A576B9" w:rsidRDefault="00152ED9" w:rsidP="00A056C1">
      <w:pPr>
        <w:jc w:val="both"/>
        <w:rPr>
          <w:lang w:val="es-CO" w:eastAsia="es-ES"/>
        </w:rPr>
      </w:pPr>
      <w:r>
        <w:rPr>
          <w:lang w:val="es-CO" w:eastAsia="es-ES"/>
        </w:rPr>
        <w:t xml:space="preserve">Posteriormente, los resultados se deben </w:t>
      </w:r>
      <w:proofErr w:type="spellStart"/>
      <w:r>
        <w:rPr>
          <w:lang w:val="es-CO" w:eastAsia="es-ES"/>
        </w:rPr>
        <w:t>defuzzificar</w:t>
      </w:r>
      <w:proofErr w:type="spellEnd"/>
      <w:r>
        <w:rPr>
          <w:lang w:val="es-CO" w:eastAsia="es-ES"/>
        </w:rPr>
        <w:t xml:space="preserve">, es decir, obtener un único valor representativo para cada caso. En este estudio el método de </w:t>
      </w:r>
      <w:proofErr w:type="spellStart"/>
      <w:r>
        <w:rPr>
          <w:lang w:val="es-CO" w:eastAsia="es-ES"/>
        </w:rPr>
        <w:t>defuzzificación</w:t>
      </w:r>
      <w:proofErr w:type="spellEnd"/>
      <w:r>
        <w:rPr>
          <w:lang w:val="es-CO" w:eastAsia="es-ES"/>
        </w:rPr>
        <w:t xml:space="preserve"> utilizado fue el de centro de área o centroide, donde se obtiene un valor nítido. Este cálculo se realizó a cada uno de los 16 riesgos seleccionados. Como entrada, se recibe cada uno de los valores de probabilidad e impacto. A continuación, en la siguiente tabla se puede observar cada uno de los riesgos con su </w:t>
      </w:r>
      <w:r>
        <w:rPr>
          <w:lang w:val="es-CO" w:eastAsia="es-ES"/>
        </w:rPr>
        <w:lastRenderedPageBreak/>
        <w:t xml:space="preserve">respectivo nivel de riesgo encontrado </w:t>
      </w:r>
      <w:r w:rsidR="00B24E31">
        <w:rPr>
          <w:lang w:val="es-CO" w:eastAsia="es-ES"/>
        </w:rPr>
        <w:t>de acuerdo con</w:t>
      </w:r>
      <w:r>
        <w:rPr>
          <w:lang w:val="es-CO" w:eastAsia="es-ES"/>
        </w:rPr>
        <w:t xml:space="preserve"> los valores de probabilidad e impacto definidos.</w:t>
      </w:r>
    </w:p>
    <w:tbl>
      <w:tblPr>
        <w:tblW w:w="11624" w:type="dxa"/>
        <w:jc w:val="center"/>
        <w:tblCellMar>
          <w:left w:w="70" w:type="dxa"/>
          <w:right w:w="70" w:type="dxa"/>
        </w:tblCellMar>
        <w:tblLook w:val="04A0" w:firstRow="1" w:lastRow="0" w:firstColumn="1" w:lastColumn="0" w:noHBand="0" w:noVBand="1"/>
      </w:tblPr>
      <w:tblGrid>
        <w:gridCol w:w="5665"/>
        <w:gridCol w:w="709"/>
        <w:gridCol w:w="567"/>
        <w:gridCol w:w="572"/>
        <w:gridCol w:w="1559"/>
        <w:gridCol w:w="1134"/>
        <w:gridCol w:w="709"/>
        <w:gridCol w:w="709"/>
      </w:tblGrid>
      <w:tr w:rsidR="00A576B9" w:rsidRPr="00A576B9" w14:paraId="64A31E28" w14:textId="77777777" w:rsidTr="00BB6E11">
        <w:trPr>
          <w:cantSplit/>
          <w:trHeight w:val="1310"/>
          <w:jc w:val="center"/>
        </w:trPr>
        <w:tc>
          <w:tcPr>
            <w:tcW w:w="56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D0EAA8" w14:textId="77777777" w:rsidR="00A576B9" w:rsidRPr="00A576B9" w:rsidRDefault="00A576B9" w:rsidP="00A576B9">
            <w:pPr>
              <w:spacing w:before="0" w:line="240" w:lineRule="auto"/>
              <w:ind w:firstLine="0"/>
              <w:jc w:val="center"/>
              <w:rPr>
                <w:b/>
                <w:bCs/>
                <w:color w:val="000000"/>
                <w:sz w:val="16"/>
                <w:szCs w:val="16"/>
                <w:lang w:val="es-CO" w:eastAsia="es-MX"/>
              </w:rPr>
            </w:pPr>
            <w:r w:rsidRPr="00A576B9">
              <w:rPr>
                <w:b/>
                <w:bCs/>
                <w:color w:val="000000"/>
                <w:sz w:val="16"/>
                <w:szCs w:val="16"/>
                <w:lang w:val="es-CO" w:eastAsia="es-MX"/>
              </w:rPr>
              <w:t>Nombre del riesgo</w:t>
            </w:r>
          </w:p>
        </w:tc>
        <w:tc>
          <w:tcPr>
            <w:tcW w:w="709"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DC6F204"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Código del riesgo</w:t>
            </w:r>
          </w:p>
        </w:tc>
        <w:tc>
          <w:tcPr>
            <w:tcW w:w="567"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43F6C21"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Valor numérico probabilidad</w:t>
            </w:r>
          </w:p>
        </w:tc>
        <w:tc>
          <w:tcPr>
            <w:tcW w:w="57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023FE51"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Valor numérico impacto</w:t>
            </w:r>
          </w:p>
        </w:tc>
        <w:tc>
          <w:tcPr>
            <w:tcW w:w="1559"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FE0121C"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Probabilidad</w:t>
            </w:r>
          </w:p>
        </w:tc>
        <w:tc>
          <w:tcPr>
            <w:tcW w:w="113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223AE37"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Impacto</w:t>
            </w:r>
          </w:p>
        </w:tc>
        <w:tc>
          <w:tcPr>
            <w:tcW w:w="709"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DDF4760"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Nivel de riesgo</w:t>
            </w:r>
          </w:p>
        </w:tc>
        <w:tc>
          <w:tcPr>
            <w:tcW w:w="709" w:type="dxa"/>
            <w:tcBorders>
              <w:top w:val="single" w:sz="4" w:space="0" w:color="auto"/>
              <w:left w:val="nil"/>
              <w:bottom w:val="single" w:sz="4" w:space="0" w:color="auto"/>
              <w:right w:val="single" w:sz="4" w:space="0" w:color="auto"/>
            </w:tcBorders>
            <w:textDirection w:val="btLr"/>
          </w:tcPr>
          <w:p w14:paraId="39C20E15" w14:textId="77777777" w:rsidR="00A576B9" w:rsidRPr="00A576B9" w:rsidRDefault="00A576B9" w:rsidP="00A576B9">
            <w:pPr>
              <w:spacing w:before="0" w:line="240" w:lineRule="auto"/>
              <w:ind w:left="113" w:right="113" w:firstLine="0"/>
              <w:jc w:val="center"/>
              <w:rPr>
                <w:b/>
                <w:bCs/>
                <w:color w:val="000000"/>
                <w:sz w:val="16"/>
                <w:szCs w:val="16"/>
                <w:lang w:val="es-CO" w:eastAsia="es-MX"/>
              </w:rPr>
            </w:pPr>
            <w:r w:rsidRPr="00A576B9">
              <w:rPr>
                <w:b/>
                <w:bCs/>
                <w:color w:val="000000"/>
                <w:sz w:val="16"/>
                <w:szCs w:val="16"/>
                <w:lang w:val="es-CO" w:eastAsia="es-MX"/>
              </w:rPr>
              <w:t>Valor numérico nivel de riesgo</w:t>
            </w:r>
          </w:p>
        </w:tc>
      </w:tr>
      <w:tr w:rsidR="00A576B9" w:rsidRPr="00A576B9" w14:paraId="243FB76B"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60C8DF43"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 xml:space="preserve">Esquemas de </w:t>
            </w:r>
            <w:proofErr w:type="spellStart"/>
            <w:r w:rsidRPr="00A576B9">
              <w:rPr>
                <w:color w:val="000000"/>
                <w:sz w:val="16"/>
                <w:szCs w:val="16"/>
                <w:lang w:val="es-CO" w:eastAsia="es-MX"/>
              </w:rPr>
              <w:t>cap</w:t>
            </w:r>
            <w:proofErr w:type="spellEnd"/>
            <w:r w:rsidRPr="00A576B9">
              <w:rPr>
                <w:color w:val="000000"/>
                <w:sz w:val="16"/>
                <w:szCs w:val="16"/>
                <w:lang w:val="es-CO" w:eastAsia="es-MX"/>
              </w:rPr>
              <w:t xml:space="preserve"> and </w:t>
            </w:r>
            <w:proofErr w:type="spellStart"/>
            <w:r w:rsidRPr="00A576B9">
              <w:rPr>
                <w:color w:val="000000"/>
                <w:sz w:val="16"/>
                <w:szCs w:val="16"/>
                <w:lang w:val="es-CO" w:eastAsia="es-MX"/>
              </w:rPr>
              <w:t>trade</w:t>
            </w:r>
            <w:proofErr w:type="spellEnd"/>
          </w:p>
        </w:tc>
        <w:tc>
          <w:tcPr>
            <w:tcW w:w="709" w:type="dxa"/>
            <w:tcBorders>
              <w:top w:val="nil"/>
              <w:left w:val="nil"/>
              <w:bottom w:val="single" w:sz="4" w:space="0" w:color="auto"/>
              <w:right w:val="single" w:sz="4" w:space="0" w:color="auto"/>
            </w:tcBorders>
            <w:shd w:val="clear" w:color="auto" w:fill="auto"/>
            <w:noWrap/>
            <w:vAlign w:val="center"/>
            <w:hideMark/>
          </w:tcPr>
          <w:p w14:paraId="1529FB6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Rreg1</w:t>
            </w:r>
          </w:p>
        </w:tc>
        <w:tc>
          <w:tcPr>
            <w:tcW w:w="567" w:type="dxa"/>
            <w:tcBorders>
              <w:top w:val="nil"/>
              <w:left w:val="nil"/>
              <w:bottom w:val="single" w:sz="4" w:space="0" w:color="auto"/>
              <w:right w:val="single" w:sz="4" w:space="0" w:color="auto"/>
            </w:tcBorders>
            <w:shd w:val="clear" w:color="auto" w:fill="auto"/>
            <w:noWrap/>
            <w:vAlign w:val="center"/>
            <w:hideMark/>
          </w:tcPr>
          <w:p w14:paraId="069EBE78" w14:textId="2F79DE84"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0.393</w:t>
            </w:r>
          </w:p>
        </w:tc>
        <w:tc>
          <w:tcPr>
            <w:tcW w:w="572" w:type="dxa"/>
            <w:tcBorders>
              <w:top w:val="nil"/>
              <w:left w:val="nil"/>
              <w:bottom w:val="single" w:sz="4" w:space="0" w:color="auto"/>
              <w:right w:val="single" w:sz="4" w:space="0" w:color="auto"/>
            </w:tcBorders>
            <w:shd w:val="clear" w:color="auto" w:fill="auto"/>
            <w:noWrap/>
            <w:vAlign w:val="center"/>
            <w:hideMark/>
          </w:tcPr>
          <w:p w14:paraId="12FDB479" w14:textId="325E98E0"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0.937</w:t>
            </w:r>
          </w:p>
        </w:tc>
        <w:tc>
          <w:tcPr>
            <w:tcW w:w="1559" w:type="dxa"/>
            <w:tcBorders>
              <w:top w:val="nil"/>
              <w:left w:val="nil"/>
              <w:bottom w:val="single" w:sz="4" w:space="0" w:color="auto"/>
              <w:right w:val="single" w:sz="4" w:space="0" w:color="auto"/>
            </w:tcBorders>
            <w:shd w:val="clear" w:color="auto" w:fill="auto"/>
            <w:noWrap/>
            <w:vAlign w:val="center"/>
            <w:hideMark/>
          </w:tcPr>
          <w:p w14:paraId="2A01463F"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0DF0B2E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000000" w:fill="FFC000"/>
            <w:noWrap/>
            <w:vAlign w:val="center"/>
            <w:hideMark/>
          </w:tcPr>
          <w:p w14:paraId="660B5354"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Alto</w:t>
            </w:r>
          </w:p>
        </w:tc>
        <w:tc>
          <w:tcPr>
            <w:tcW w:w="709" w:type="dxa"/>
            <w:tcBorders>
              <w:top w:val="nil"/>
              <w:left w:val="nil"/>
              <w:bottom w:val="single" w:sz="4" w:space="0" w:color="auto"/>
              <w:right w:val="single" w:sz="4" w:space="0" w:color="auto"/>
            </w:tcBorders>
            <w:shd w:val="clear" w:color="000000" w:fill="FFC000"/>
          </w:tcPr>
          <w:p w14:paraId="5B88A571" w14:textId="5A65E3C6"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0.6</w:t>
            </w:r>
            <w:r w:rsidR="00355D8A">
              <w:rPr>
                <w:color w:val="000000"/>
                <w:sz w:val="16"/>
                <w:szCs w:val="16"/>
                <w:lang w:val="es-CO" w:eastAsia="es-MX"/>
              </w:rPr>
              <w:t>00</w:t>
            </w:r>
          </w:p>
        </w:tc>
      </w:tr>
      <w:tr w:rsidR="00A576B9" w:rsidRPr="00A576B9" w14:paraId="44121D51"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3B6C55C5"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Aumento del impuesto al carbono</w:t>
            </w:r>
          </w:p>
        </w:tc>
        <w:tc>
          <w:tcPr>
            <w:tcW w:w="709" w:type="dxa"/>
            <w:tcBorders>
              <w:top w:val="nil"/>
              <w:left w:val="nil"/>
              <w:bottom w:val="single" w:sz="4" w:space="0" w:color="auto"/>
              <w:right w:val="single" w:sz="4" w:space="0" w:color="auto"/>
            </w:tcBorders>
            <w:shd w:val="clear" w:color="auto" w:fill="auto"/>
            <w:noWrap/>
            <w:vAlign w:val="center"/>
            <w:hideMark/>
          </w:tcPr>
          <w:p w14:paraId="46232E7F"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Rreg2</w:t>
            </w:r>
          </w:p>
        </w:tc>
        <w:tc>
          <w:tcPr>
            <w:tcW w:w="567" w:type="dxa"/>
            <w:tcBorders>
              <w:top w:val="nil"/>
              <w:left w:val="nil"/>
              <w:bottom w:val="single" w:sz="4" w:space="0" w:color="auto"/>
              <w:right w:val="single" w:sz="4" w:space="0" w:color="auto"/>
            </w:tcBorders>
            <w:shd w:val="clear" w:color="auto" w:fill="auto"/>
            <w:noWrap/>
            <w:vAlign w:val="center"/>
            <w:hideMark/>
          </w:tcPr>
          <w:p w14:paraId="4EBBA65D" w14:textId="00FEC44A"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0.732</w:t>
            </w:r>
          </w:p>
        </w:tc>
        <w:tc>
          <w:tcPr>
            <w:tcW w:w="572" w:type="dxa"/>
            <w:tcBorders>
              <w:top w:val="nil"/>
              <w:left w:val="nil"/>
              <w:bottom w:val="single" w:sz="4" w:space="0" w:color="auto"/>
              <w:right w:val="single" w:sz="4" w:space="0" w:color="auto"/>
            </w:tcBorders>
            <w:shd w:val="clear" w:color="auto" w:fill="auto"/>
            <w:noWrap/>
            <w:vAlign w:val="center"/>
            <w:hideMark/>
          </w:tcPr>
          <w:p w14:paraId="0FEA0AAA" w14:textId="138DE3DD"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0.972</w:t>
            </w:r>
          </w:p>
        </w:tc>
        <w:tc>
          <w:tcPr>
            <w:tcW w:w="1559" w:type="dxa"/>
            <w:tcBorders>
              <w:top w:val="nil"/>
              <w:left w:val="nil"/>
              <w:bottom w:val="single" w:sz="4" w:space="0" w:color="auto"/>
              <w:right w:val="single" w:sz="4" w:space="0" w:color="auto"/>
            </w:tcBorders>
            <w:shd w:val="clear" w:color="auto" w:fill="auto"/>
            <w:noWrap/>
            <w:vAlign w:val="center"/>
            <w:hideMark/>
          </w:tcPr>
          <w:p w14:paraId="20A7DD2C"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Probable</w:t>
            </w:r>
          </w:p>
        </w:tc>
        <w:tc>
          <w:tcPr>
            <w:tcW w:w="1134" w:type="dxa"/>
            <w:tcBorders>
              <w:top w:val="nil"/>
              <w:left w:val="nil"/>
              <w:bottom w:val="single" w:sz="4" w:space="0" w:color="auto"/>
              <w:right w:val="single" w:sz="4" w:space="0" w:color="auto"/>
            </w:tcBorders>
            <w:shd w:val="clear" w:color="auto" w:fill="auto"/>
            <w:noWrap/>
            <w:vAlign w:val="center"/>
            <w:hideMark/>
          </w:tcPr>
          <w:p w14:paraId="62DCAA6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000000" w:fill="FF0000"/>
            <w:noWrap/>
            <w:vAlign w:val="center"/>
            <w:hideMark/>
          </w:tcPr>
          <w:p w14:paraId="46827EA5" w14:textId="77777777" w:rsidR="00A576B9" w:rsidRPr="00A576B9" w:rsidRDefault="00A576B9" w:rsidP="00A576B9">
            <w:pPr>
              <w:spacing w:before="0" w:line="240" w:lineRule="auto"/>
              <w:ind w:firstLine="0"/>
              <w:jc w:val="center"/>
              <w:rPr>
                <w:color w:val="FFFFFF"/>
                <w:sz w:val="16"/>
                <w:szCs w:val="16"/>
                <w:lang w:val="es-CO" w:eastAsia="es-MX"/>
              </w:rPr>
            </w:pPr>
            <w:r w:rsidRPr="00A576B9">
              <w:rPr>
                <w:color w:val="FFFFFF"/>
                <w:sz w:val="16"/>
                <w:szCs w:val="16"/>
                <w:lang w:val="es-CO" w:eastAsia="es-MX"/>
              </w:rPr>
              <w:t>Riesgo Crítico</w:t>
            </w:r>
          </w:p>
        </w:tc>
        <w:tc>
          <w:tcPr>
            <w:tcW w:w="709" w:type="dxa"/>
            <w:tcBorders>
              <w:top w:val="nil"/>
              <w:left w:val="nil"/>
              <w:bottom w:val="single" w:sz="4" w:space="0" w:color="auto"/>
              <w:right w:val="single" w:sz="4" w:space="0" w:color="auto"/>
            </w:tcBorders>
            <w:shd w:val="clear" w:color="000000" w:fill="FF0000"/>
          </w:tcPr>
          <w:p w14:paraId="17416D7D" w14:textId="5B2336D5" w:rsidR="00A576B9" w:rsidRPr="00A576B9" w:rsidRDefault="00804630" w:rsidP="00A576B9">
            <w:pPr>
              <w:spacing w:before="0" w:line="240" w:lineRule="auto"/>
              <w:ind w:firstLine="0"/>
              <w:jc w:val="center"/>
              <w:rPr>
                <w:color w:val="FFFFFF"/>
                <w:sz w:val="16"/>
                <w:szCs w:val="16"/>
                <w:lang w:val="es-CO" w:eastAsia="es-MX"/>
              </w:rPr>
            </w:pPr>
            <w:r>
              <w:rPr>
                <w:color w:val="FFFFFF"/>
                <w:sz w:val="16"/>
                <w:szCs w:val="16"/>
                <w:lang w:val="es-CO" w:eastAsia="es-MX"/>
              </w:rPr>
              <w:t>0.864</w:t>
            </w:r>
          </w:p>
        </w:tc>
      </w:tr>
      <w:tr w:rsidR="00A576B9" w:rsidRPr="00A576B9" w14:paraId="7CE51290" w14:textId="77777777" w:rsidTr="00BB6E11">
        <w:trPr>
          <w:trHeight w:val="191"/>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05FB7C27"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Litigios relacionados con el cambio climático</w:t>
            </w:r>
          </w:p>
        </w:tc>
        <w:tc>
          <w:tcPr>
            <w:tcW w:w="709" w:type="dxa"/>
            <w:tcBorders>
              <w:top w:val="nil"/>
              <w:left w:val="nil"/>
              <w:bottom w:val="single" w:sz="4" w:space="0" w:color="auto"/>
              <w:right w:val="single" w:sz="4" w:space="0" w:color="auto"/>
            </w:tcBorders>
            <w:shd w:val="clear" w:color="auto" w:fill="auto"/>
            <w:noWrap/>
            <w:vAlign w:val="center"/>
            <w:hideMark/>
          </w:tcPr>
          <w:p w14:paraId="1BD6A1D6"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Rreg3</w:t>
            </w:r>
          </w:p>
        </w:tc>
        <w:tc>
          <w:tcPr>
            <w:tcW w:w="567" w:type="dxa"/>
            <w:tcBorders>
              <w:top w:val="nil"/>
              <w:left w:val="nil"/>
              <w:bottom w:val="single" w:sz="4" w:space="0" w:color="auto"/>
              <w:right w:val="single" w:sz="4" w:space="0" w:color="auto"/>
            </w:tcBorders>
            <w:shd w:val="clear" w:color="auto" w:fill="auto"/>
            <w:noWrap/>
            <w:vAlign w:val="center"/>
            <w:hideMark/>
          </w:tcPr>
          <w:p w14:paraId="140B5507" w14:textId="61B7CDEA"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0.200</w:t>
            </w:r>
          </w:p>
        </w:tc>
        <w:tc>
          <w:tcPr>
            <w:tcW w:w="572" w:type="dxa"/>
            <w:tcBorders>
              <w:top w:val="nil"/>
              <w:left w:val="nil"/>
              <w:bottom w:val="single" w:sz="4" w:space="0" w:color="auto"/>
              <w:right w:val="single" w:sz="4" w:space="0" w:color="auto"/>
            </w:tcBorders>
            <w:shd w:val="clear" w:color="auto" w:fill="auto"/>
            <w:noWrap/>
            <w:vAlign w:val="center"/>
            <w:hideMark/>
          </w:tcPr>
          <w:p w14:paraId="11C9AF8F" w14:textId="7B1AD5A1"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0.825</w:t>
            </w:r>
          </w:p>
        </w:tc>
        <w:tc>
          <w:tcPr>
            <w:tcW w:w="1559" w:type="dxa"/>
            <w:tcBorders>
              <w:top w:val="nil"/>
              <w:left w:val="nil"/>
              <w:bottom w:val="single" w:sz="4" w:space="0" w:color="auto"/>
              <w:right w:val="single" w:sz="4" w:space="0" w:color="auto"/>
            </w:tcBorders>
            <w:shd w:val="clear" w:color="auto" w:fill="auto"/>
            <w:noWrap/>
            <w:vAlign w:val="center"/>
            <w:hideMark/>
          </w:tcPr>
          <w:p w14:paraId="0160B567"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Muy Improbable</w:t>
            </w:r>
          </w:p>
        </w:tc>
        <w:tc>
          <w:tcPr>
            <w:tcW w:w="1134" w:type="dxa"/>
            <w:tcBorders>
              <w:top w:val="nil"/>
              <w:left w:val="nil"/>
              <w:bottom w:val="single" w:sz="4" w:space="0" w:color="auto"/>
              <w:right w:val="single" w:sz="4" w:space="0" w:color="auto"/>
            </w:tcBorders>
            <w:shd w:val="clear" w:color="auto" w:fill="auto"/>
            <w:noWrap/>
            <w:vAlign w:val="center"/>
            <w:hideMark/>
          </w:tcPr>
          <w:p w14:paraId="761BE996"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27DD100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66BD07E7" w14:textId="585E49D5"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w:t>
            </w:r>
            <w:r w:rsidR="00355D8A">
              <w:rPr>
                <w:color w:val="000000"/>
                <w:sz w:val="16"/>
                <w:szCs w:val="16"/>
                <w:lang w:val="es-CO" w:eastAsia="es-MX"/>
              </w:rPr>
              <w:t>00</w:t>
            </w:r>
          </w:p>
        </w:tc>
      </w:tr>
      <w:tr w:rsidR="00A576B9" w:rsidRPr="00A576B9" w14:paraId="36478672"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7B0622DB"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Obligaciones de notificación de emisiones</w:t>
            </w:r>
          </w:p>
        </w:tc>
        <w:tc>
          <w:tcPr>
            <w:tcW w:w="709" w:type="dxa"/>
            <w:tcBorders>
              <w:top w:val="nil"/>
              <w:left w:val="nil"/>
              <w:bottom w:val="single" w:sz="4" w:space="0" w:color="auto"/>
              <w:right w:val="single" w:sz="4" w:space="0" w:color="auto"/>
            </w:tcBorders>
            <w:shd w:val="clear" w:color="auto" w:fill="auto"/>
            <w:noWrap/>
            <w:vAlign w:val="center"/>
            <w:hideMark/>
          </w:tcPr>
          <w:p w14:paraId="35743833"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Rreg4</w:t>
            </w:r>
          </w:p>
        </w:tc>
        <w:tc>
          <w:tcPr>
            <w:tcW w:w="567" w:type="dxa"/>
            <w:tcBorders>
              <w:top w:val="nil"/>
              <w:left w:val="nil"/>
              <w:bottom w:val="single" w:sz="4" w:space="0" w:color="auto"/>
              <w:right w:val="single" w:sz="4" w:space="0" w:color="auto"/>
            </w:tcBorders>
            <w:shd w:val="clear" w:color="auto" w:fill="auto"/>
            <w:noWrap/>
            <w:vAlign w:val="center"/>
            <w:hideMark/>
          </w:tcPr>
          <w:p w14:paraId="469CD41E" w14:textId="2C68453F"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0.607</w:t>
            </w:r>
          </w:p>
        </w:tc>
        <w:tc>
          <w:tcPr>
            <w:tcW w:w="572" w:type="dxa"/>
            <w:tcBorders>
              <w:top w:val="nil"/>
              <w:left w:val="nil"/>
              <w:bottom w:val="single" w:sz="4" w:space="0" w:color="auto"/>
              <w:right w:val="single" w:sz="4" w:space="0" w:color="auto"/>
            </w:tcBorders>
            <w:shd w:val="clear" w:color="auto" w:fill="auto"/>
            <w:noWrap/>
            <w:vAlign w:val="center"/>
            <w:hideMark/>
          </w:tcPr>
          <w:p w14:paraId="098269B4" w14:textId="1C6C5F50"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0.755</w:t>
            </w:r>
          </w:p>
        </w:tc>
        <w:tc>
          <w:tcPr>
            <w:tcW w:w="1559" w:type="dxa"/>
            <w:tcBorders>
              <w:top w:val="nil"/>
              <w:left w:val="nil"/>
              <w:bottom w:val="single" w:sz="4" w:space="0" w:color="auto"/>
              <w:right w:val="single" w:sz="4" w:space="0" w:color="auto"/>
            </w:tcBorders>
            <w:shd w:val="clear" w:color="auto" w:fill="auto"/>
            <w:noWrap/>
            <w:vAlign w:val="center"/>
            <w:hideMark/>
          </w:tcPr>
          <w:p w14:paraId="6B1DD9F5"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Probabilidad Media</w:t>
            </w:r>
          </w:p>
        </w:tc>
        <w:tc>
          <w:tcPr>
            <w:tcW w:w="1134" w:type="dxa"/>
            <w:tcBorders>
              <w:top w:val="nil"/>
              <w:left w:val="nil"/>
              <w:bottom w:val="single" w:sz="4" w:space="0" w:color="auto"/>
              <w:right w:val="single" w:sz="4" w:space="0" w:color="auto"/>
            </w:tcBorders>
            <w:shd w:val="clear" w:color="auto" w:fill="auto"/>
            <w:noWrap/>
            <w:vAlign w:val="center"/>
            <w:hideMark/>
          </w:tcPr>
          <w:p w14:paraId="733F755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C000"/>
            <w:noWrap/>
            <w:vAlign w:val="center"/>
            <w:hideMark/>
          </w:tcPr>
          <w:p w14:paraId="6485E685"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Alto</w:t>
            </w:r>
          </w:p>
        </w:tc>
        <w:tc>
          <w:tcPr>
            <w:tcW w:w="709" w:type="dxa"/>
            <w:tcBorders>
              <w:top w:val="nil"/>
              <w:left w:val="nil"/>
              <w:bottom w:val="single" w:sz="4" w:space="0" w:color="auto"/>
              <w:right w:val="single" w:sz="4" w:space="0" w:color="auto"/>
            </w:tcBorders>
            <w:shd w:val="clear" w:color="000000" w:fill="FFC000"/>
          </w:tcPr>
          <w:p w14:paraId="7FE95AA6" w14:textId="1732191C"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0.6</w:t>
            </w:r>
            <w:r w:rsidR="00355D8A">
              <w:rPr>
                <w:color w:val="000000"/>
                <w:sz w:val="16"/>
                <w:szCs w:val="16"/>
                <w:lang w:val="es-CO" w:eastAsia="es-MX"/>
              </w:rPr>
              <w:t>00</w:t>
            </w:r>
          </w:p>
        </w:tc>
      </w:tr>
      <w:tr w:rsidR="00A576B9" w:rsidRPr="00A576B9" w14:paraId="740D7040"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70FD8BDE"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Cambio en patrones de producción o consumo de energía menos intensivas en carbono</w:t>
            </w:r>
          </w:p>
        </w:tc>
        <w:tc>
          <w:tcPr>
            <w:tcW w:w="709" w:type="dxa"/>
            <w:tcBorders>
              <w:top w:val="nil"/>
              <w:left w:val="nil"/>
              <w:bottom w:val="single" w:sz="4" w:space="0" w:color="auto"/>
              <w:right w:val="single" w:sz="4" w:space="0" w:color="auto"/>
            </w:tcBorders>
            <w:shd w:val="clear" w:color="auto" w:fill="auto"/>
            <w:noWrap/>
            <w:vAlign w:val="center"/>
            <w:hideMark/>
          </w:tcPr>
          <w:p w14:paraId="49EBB64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RT1</w:t>
            </w:r>
          </w:p>
        </w:tc>
        <w:tc>
          <w:tcPr>
            <w:tcW w:w="567" w:type="dxa"/>
            <w:tcBorders>
              <w:top w:val="nil"/>
              <w:left w:val="nil"/>
              <w:bottom w:val="single" w:sz="4" w:space="0" w:color="auto"/>
              <w:right w:val="single" w:sz="4" w:space="0" w:color="auto"/>
            </w:tcBorders>
            <w:shd w:val="clear" w:color="auto" w:fill="auto"/>
            <w:noWrap/>
            <w:vAlign w:val="center"/>
            <w:hideMark/>
          </w:tcPr>
          <w:p w14:paraId="72BD0B6C" w14:textId="4A176681"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0.893</w:t>
            </w:r>
          </w:p>
        </w:tc>
        <w:tc>
          <w:tcPr>
            <w:tcW w:w="572" w:type="dxa"/>
            <w:tcBorders>
              <w:top w:val="nil"/>
              <w:left w:val="nil"/>
              <w:bottom w:val="single" w:sz="4" w:space="0" w:color="auto"/>
              <w:right w:val="single" w:sz="4" w:space="0" w:color="auto"/>
            </w:tcBorders>
            <w:shd w:val="clear" w:color="auto" w:fill="auto"/>
            <w:noWrap/>
            <w:vAlign w:val="center"/>
            <w:hideMark/>
          </w:tcPr>
          <w:p w14:paraId="596C2691" w14:textId="5600B08A"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0.972</w:t>
            </w:r>
          </w:p>
        </w:tc>
        <w:tc>
          <w:tcPr>
            <w:tcW w:w="1559" w:type="dxa"/>
            <w:tcBorders>
              <w:top w:val="nil"/>
              <w:left w:val="nil"/>
              <w:bottom w:val="single" w:sz="4" w:space="0" w:color="auto"/>
              <w:right w:val="single" w:sz="4" w:space="0" w:color="auto"/>
            </w:tcBorders>
            <w:shd w:val="clear" w:color="auto" w:fill="auto"/>
            <w:noWrap/>
            <w:vAlign w:val="center"/>
            <w:hideMark/>
          </w:tcPr>
          <w:p w14:paraId="25107E17"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Probable</w:t>
            </w:r>
          </w:p>
        </w:tc>
        <w:tc>
          <w:tcPr>
            <w:tcW w:w="1134" w:type="dxa"/>
            <w:tcBorders>
              <w:top w:val="nil"/>
              <w:left w:val="nil"/>
              <w:bottom w:val="single" w:sz="4" w:space="0" w:color="auto"/>
              <w:right w:val="single" w:sz="4" w:space="0" w:color="auto"/>
            </w:tcBorders>
            <w:shd w:val="clear" w:color="auto" w:fill="auto"/>
            <w:noWrap/>
            <w:vAlign w:val="center"/>
            <w:hideMark/>
          </w:tcPr>
          <w:p w14:paraId="04C20409"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000000" w:fill="FF0000"/>
            <w:noWrap/>
            <w:vAlign w:val="center"/>
            <w:hideMark/>
          </w:tcPr>
          <w:p w14:paraId="22219248" w14:textId="77777777" w:rsidR="00A576B9" w:rsidRPr="00A576B9" w:rsidRDefault="00A576B9" w:rsidP="00A576B9">
            <w:pPr>
              <w:spacing w:before="0" w:line="240" w:lineRule="auto"/>
              <w:ind w:firstLine="0"/>
              <w:jc w:val="center"/>
              <w:rPr>
                <w:color w:val="FFFFFF"/>
                <w:sz w:val="16"/>
                <w:szCs w:val="16"/>
                <w:lang w:val="es-CO" w:eastAsia="es-MX"/>
              </w:rPr>
            </w:pPr>
            <w:r w:rsidRPr="00A576B9">
              <w:rPr>
                <w:color w:val="FFFFFF"/>
                <w:sz w:val="16"/>
                <w:szCs w:val="16"/>
                <w:lang w:val="es-CO" w:eastAsia="es-MX"/>
              </w:rPr>
              <w:t>Riesgo Crítico</w:t>
            </w:r>
          </w:p>
        </w:tc>
        <w:tc>
          <w:tcPr>
            <w:tcW w:w="709" w:type="dxa"/>
            <w:tcBorders>
              <w:top w:val="nil"/>
              <w:left w:val="nil"/>
              <w:bottom w:val="single" w:sz="4" w:space="0" w:color="auto"/>
              <w:right w:val="single" w:sz="4" w:space="0" w:color="auto"/>
            </w:tcBorders>
            <w:shd w:val="clear" w:color="000000" w:fill="FF0000"/>
          </w:tcPr>
          <w:p w14:paraId="7CF592CB" w14:textId="3F2B93B9" w:rsidR="00A576B9" w:rsidRPr="00A576B9" w:rsidRDefault="00804630" w:rsidP="00A576B9">
            <w:pPr>
              <w:spacing w:before="0" w:line="240" w:lineRule="auto"/>
              <w:ind w:firstLine="0"/>
              <w:jc w:val="center"/>
              <w:rPr>
                <w:color w:val="FFFFFF"/>
                <w:sz w:val="16"/>
                <w:szCs w:val="16"/>
                <w:lang w:val="es-CO" w:eastAsia="es-MX"/>
              </w:rPr>
            </w:pPr>
            <w:r>
              <w:rPr>
                <w:color w:val="FFFFFF"/>
                <w:sz w:val="16"/>
                <w:szCs w:val="16"/>
                <w:lang w:val="es-CO" w:eastAsia="es-MX"/>
              </w:rPr>
              <w:t>0.851</w:t>
            </w:r>
          </w:p>
        </w:tc>
      </w:tr>
      <w:tr w:rsidR="00A576B9" w:rsidRPr="00A576B9" w14:paraId="379612EB" w14:textId="77777777" w:rsidTr="00762E58">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429846DA"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Avance tecnológico de las energías renovables y la eficiencia energética</w:t>
            </w:r>
          </w:p>
        </w:tc>
        <w:tc>
          <w:tcPr>
            <w:tcW w:w="709" w:type="dxa"/>
            <w:tcBorders>
              <w:top w:val="nil"/>
              <w:left w:val="nil"/>
              <w:bottom w:val="single" w:sz="4" w:space="0" w:color="auto"/>
              <w:right w:val="single" w:sz="4" w:space="0" w:color="auto"/>
            </w:tcBorders>
            <w:shd w:val="clear" w:color="auto" w:fill="auto"/>
            <w:noWrap/>
            <w:vAlign w:val="center"/>
            <w:hideMark/>
          </w:tcPr>
          <w:p w14:paraId="66E2FFEC"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RT2</w:t>
            </w:r>
          </w:p>
        </w:tc>
        <w:tc>
          <w:tcPr>
            <w:tcW w:w="567" w:type="dxa"/>
            <w:tcBorders>
              <w:top w:val="nil"/>
              <w:left w:val="nil"/>
              <w:bottom w:val="single" w:sz="4" w:space="0" w:color="auto"/>
              <w:right w:val="single" w:sz="4" w:space="0" w:color="auto"/>
            </w:tcBorders>
            <w:shd w:val="clear" w:color="auto" w:fill="auto"/>
            <w:noWrap/>
            <w:vAlign w:val="center"/>
            <w:hideMark/>
          </w:tcPr>
          <w:p w14:paraId="2D80DBB3" w14:textId="7DBA6437"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0.464</w:t>
            </w:r>
          </w:p>
        </w:tc>
        <w:tc>
          <w:tcPr>
            <w:tcW w:w="572" w:type="dxa"/>
            <w:tcBorders>
              <w:top w:val="nil"/>
              <w:left w:val="nil"/>
              <w:bottom w:val="single" w:sz="4" w:space="0" w:color="auto"/>
              <w:right w:val="single" w:sz="4" w:space="0" w:color="auto"/>
            </w:tcBorders>
            <w:shd w:val="clear" w:color="auto" w:fill="auto"/>
            <w:noWrap/>
            <w:vAlign w:val="center"/>
            <w:hideMark/>
          </w:tcPr>
          <w:p w14:paraId="43792922" w14:textId="1EB4CCC8"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0.909</w:t>
            </w:r>
          </w:p>
        </w:tc>
        <w:tc>
          <w:tcPr>
            <w:tcW w:w="1559" w:type="dxa"/>
            <w:tcBorders>
              <w:top w:val="nil"/>
              <w:left w:val="nil"/>
              <w:bottom w:val="single" w:sz="4" w:space="0" w:color="auto"/>
              <w:right w:val="single" w:sz="4" w:space="0" w:color="auto"/>
            </w:tcBorders>
            <w:shd w:val="clear" w:color="auto" w:fill="auto"/>
            <w:noWrap/>
            <w:vAlign w:val="center"/>
            <w:hideMark/>
          </w:tcPr>
          <w:p w14:paraId="1A2BE5A8"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Probabilidad Media</w:t>
            </w:r>
          </w:p>
        </w:tc>
        <w:tc>
          <w:tcPr>
            <w:tcW w:w="1134" w:type="dxa"/>
            <w:tcBorders>
              <w:top w:val="nil"/>
              <w:left w:val="nil"/>
              <w:bottom w:val="single" w:sz="4" w:space="0" w:color="auto"/>
              <w:right w:val="single" w:sz="4" w:space="0" w:color="auto"/>
            </w:tcBorders>
            <w:shd w:val="clear" w:color="auto" w:fill="auto"/>
            <w:noWrap/>
            <w:vAlign w:val="center"/>
            <w:hideMark/>
          </w:tcPr>
          <w:p w14:paraId="21160B84"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auto" w:fill="FFC000"/>
            <w:noWrap/>
            <w:vAlign w:val="center"/>
            <w:hideMark/>
          </w:tcPr>
          <w:p w14:paraId="65C4843E" w14:textId="4CF2A288" w:rsidR="00A576B9" w:rsidRPr="00A576B9" w:rsidRDefault="00A576B9" w:rsidP="00A576B9">
            <w:pPr>
              <w:spacing w:before="0" w:line="240" w:lineRule="auto"/>
              <w:ind w:firstLine="0"/>
              <w:jc w:val="center"/>
              <w:rPr>
                <w:color w:val="000000" w:themeColor="text1"/>
                <w:sz w:val="16"/>
                <w:szCs w:val="16"/>
                <w:lang w:val="es-CO" w:eastAsia="es-MX"/>
              </w:rPr>
            </w:pPr>
            <w:r w:rsidRPr="00A576B9">
              <w:rPr>
                <w:color w:val="000000" w:themeColor="text1"/>
                <w:sz w:val="16"/>
                <w:szCs w:val="16"/>
                <w:lang w:val="es-CO" w:eastAsia="es-MX"/>
              </w:rPr>
              <w:t xml:space="preserve">Riesgo </w:t>
            </w:r>
            <w:r w:rsidR="00762E58">
              <w:rPr>
                <w:color w:val="000000" w:themeColor="text1"/>
                <w:sz w:val="16"/>
                <w:szCs w:val="16"/>
                <w:lang w:val="es-CO" w:eastAsia="es-MX"/>
              </w:rPr>
              <w:t>Alto</w:t>
            </w:r>
          </w:p>
        </w:tc>
        <w:tc>
          <w:tcPr>
            <w:tcW w:w="709" w:type="dxa"/>
            <w:tcBorders>
              <w:top w:val="nil"/>
              <w:left w:val="nil"/>
              <w:bottom w:val="single" w:sz="4" w:space="0" w:color="auto"/>
              <w:right w:val="single" w:sz="4" w:space="0" w:color="auto"/>
            </w:tcBorders>
            <w:shd w:val="clear" w:color="auto" w:fill="FFC000"/>
          </w:tcPr>
          <w:p w14:paraId="3F122EB1" w14:textId="4DE04F28" w:rsidR="00A576B9" w:rsidRPr="00A576B9" w:rsidRDefault="00804630" w:rsidP="00A576B9">
            <w:pPr>
              <w:spacing w:before="0" w:line="240" w:lineRule="auto"/>
              <w:ind w:firstLine="0"/>
              <w:jc w:val="center"/>
              <w:rPr>
                <w:color w:val="000000" w:themeColor="text1"/>
                <w:sz w:val="16"/>
                <w:szCs w:val="16"/>
                <w:lang w:val="es-CO" w:eastAsia="es-MX"/>
              </w:rPr>
            </w:pPr>
            <w:r w:rsidRPr="00804630">
              <w:rPr>
                <w:color w:val="000000" w:themeColor="text1"/>
                <w:sz w:val="16"/>
                <w:szCs w:val="16"/>
                <w:lang w:val="es-CO" w:eastAsia="es-MX"/>
              </w:rPr>
              <w:t>0.6</w:t>
            </w:r>
            <w:r w:rsidR="00355D8A">
              <w:rPr>
                <w:color w:val="000000" w:themeColor="text1"/>
                <w:sz w:val="16"/>
                <w:szCs w:val="16"/>
                <w:lang w:val="es-CO" w:eastAsia="es-MX"/>
              </w:rPr>
              <w:t>00</w:t>
            </w:r>
          </w:p>
        </w:tc>
      </w:tr>
      <w:tr w:rsidR="00A576B9" w:rsidRPr="00A576B9" w14:paraId="44992E89"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13609A50" w14:textId="77777777" w:rsidR="00A576B9" w:rsidRPr="00A576B9" w:rsidRDefault="00A576B9" w:rsidP="00A576B9">
            <w:pPr>
              <w:spacing w:before="0" w:line="240" w:lineRule="auto"/>
              <w:ind w:firstLine="0"/>
              <w:rPr>
                <w:color w:val="000000"/>
                <w:sz w:val="16"/>
                <w:szCs w:val="16"/>
                <w:lang w:val="es-CO" w:eastAsia="es-MX"/>
              </w:rPr>
            </w:pPr>
            <w:r w:rsidRPr="00A576B9">
              <w:rPr>
                <w:sz w:val="16"/>
                <w:szCs w:val="16"/>
                <w:lang w:val="es-CO" w:eastAsia="es-MX"/>
              </w:rPr>
              <w:t>Cambio tecnológico (desarrollo de tecnología relacionada con el cambio climático)</w:t>
            </w:r>
          </w:p>
        </w:tc>
        <w:tc>
          <w:tcPr>
            <w:tcW w:w="709" w:type="dxa"/>
            <w:tcBorders>
              <w:top w:val="nil"/>
              <w:left w:val="nil"/>
              <w:bottom w:val="single" w:sz="4" w:space="0" w:color="auto"/>
              <w:right w:val="single" w:sz="4" w:space="0" w:color="auto"/>
            </w:tcBorders>
            <w:shd w:val="clear" w:color="auto" w:fill="auto"/>
            <w:noWrap/>
            <w:vAlign w:val="center"/>
            <w:hideMark/>
          </w:tcPr>
          <w:p w14:paraId="7C0CB9D6"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RT3</w:t>
            </w:r>
          </w:p>
        </w:tc>
        <w:tc>
          <w:tcPr>
            <w:tcW w:w="567" w:type="dxa"/>
            <w:tcBorders>
              <w:top w:val="nil"/>
              <w:left w:val="nil"/>
              <w:bottom w:val="single" w:sz="4" w:space="0" w:color="auto"/>
              <w:right w:val="single" w:sz="4" w:space="0" w:color="auto"/>
            </w:tcBorders>
            <w:shd w:val="clear" w:color="auto" w:fill="auto"/>
            <w:noWrap/>
            <w:vAlign w:val="center"/>
            <w:hideMark/>
          </w:tcPr>
          <w:p w14:paraId="0F425196" w14:textId="23E09E05"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0.679</w:t>
            </w:r>
          </w:p>
        </w:tc>
        <w:tc>
          <w:tcPr>
            <w:tcW w:w="572" w:type="dxa"/>
            <w:tcBorders>
              <w:top w:val="nil"/>
              <w:left w:val="nil"/>
              <w:bottom w:val="single" w:sz="4" w:space="0" w:color="auto"/>
              <w:right w:val="single" w:sz="4" w:space="0" w:color="auto"/>
            </w:tcBorders>
            <w:shd w:val="clear" w:color="auto" w:fill="auto"/>
            <w:noWrap/>
            <w:vAlign w:val="center"/>
            <w:hideMark/>
          </w:tcPr>
          <w:p w14:paraId="7E40B14B" w14:textId="6C088297"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0.944</w:t>
            </w:r>
          </w:p>
        </w:tc>
        <w:tc>
          <w:tcPr>
            <w:tcW w:w="1559" w:type="dxa"/>
            <w:tcBorders>
              <w:top w:val="nil"/>
              <w:left w:val="nil"/>
              <w:bottom w:val="single" w:sz="4" w:space="0" w:color="auto"/>
              <w:right w:val="single" w:sz="4" w:space="0" w:color="auto"/>
            </w:tcBorders>
            <w:shd w:val="clear" w:color="auto" w:fill="auto"/>
            <w:noWrap/>
            <w:vAlign w:val="center"/>
            <w:hideMark/>
          </w:tcPr>
          <w:p w14:paraId="12DE873B"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Probable</w:t>
            </w:r>
          </w:p>
        </w:tc>
        <w:tc>
          <w:tcPr>
            <w:tcW w:w="1134" w:type="dxa"/>
            <w:tcBorders>
              <w:top w:val="nil"/>
              <w:left w:val="nil"/>
              <w:bottom w:val="single" w:sz="4" w:space="0" w:color="auto"/>
              <w:right w:val="single" w:sz="4" w:space="0" w:color="auto"/>
            </w:tcBorders>
            <w:shd w:val="clear" w:color="auto" w:fill="auto"/>
            <w:noWrap/>
            <w:vAlign w:val="center"/>
            <w:hideMark/>
          </w:tcPr>
          <w:p w14:paraId="7DF6950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000000" w:fill="FF0000"/>
            <w:noWrap/>
            <w:vAlign w:val="center"/>
            <w:hideMark/>
          </w:tcPr>
          <w:p w14:paraId="77BF5EDD" w14:textId="77777777" w:rsidR="00A576B9" w:rsidRPr="00A576B9" w:rsidRDefault="00A576B9" w:rsidP="00A576B9">
            <w:pPr>
              <w:spacing w:before="0" w:line="240" w:lineRule="auto"/>
              <w:ind w:firstLine="0"/>
              <w:jc w:val="center"/>
              <w:rPr>
                <w:color w:val="FFFFFF"/>
                <w:sz w:val="16"/>
                <w:szCs w:val="16"/>
                <w:lang w:val="es-CO" w:eastAsia="es-MX"/>
              </w:rPr>
            </w:pPr>
            <w:r w:rsidRPr="00A576B9">
              <w:rPr>
                <w:color w:val="FFFFFF"/>
                <w:sz w:val="16"/>
                <w:szCs w:val="16"/>
                <w:lang w:val="es-CO" w:eastAsia="es-MX"/>
              </w:rPr>
              <w:t>Riesgo Crítico</w:t>
            </w:r>
          </w:p>
        </w:tc>
        <w:tc>
          <w:tcPr>
            <w:tcW w:w="709" w:type="dxa"/>
            <w:tcBorders>
              <w:top w:val="nil"/>
              <w:left w:val="nil"/>
              <w:bottom w:val="single" w:sz="4" w:space="0" w:color="auto"/>
              <w:right w:val="single" w:sz="4" w:space="0" w:color="auto"/>
            </w:tcBorders>
            <w:shd w:val="clear" w:color="000000" w:fill="FF0000"/>
          </w:tcPr>
          <w:p w14:paraId="03A74F48" w14:textId="2701F0E4" w:rsidR="00A576B9" w:rsidRPr="00A576B9" w:rsidRDefault="00804630" w:rsidP="00A576B9">
            <w:pPr>
              <w:spacing w:before="0" w:line="240" w:lineRule="auto"/>
              <w:ind w:firstLine="0"/>
              <w:jc w:val="center"/>
              <w:rPr>
                <w:color w:val="FFFFFF"/>
                <w:sz w:val="16"/>
                <w:szCs w:val="16"/>
                <w:lang w:val="es-CO" w:eastAsia="es-MX"/>
              </w:rPr>
            </w:pPr>
            <w:r>
              <w:rPr>
                <w:color w:val="FFFFFF"/>
                <w:sz w:val="16"/>
                <w:szCs w:val="16"/>
                <w:lang w:val="es-CO" w:eastAsia="es-MX"/>
              </w:rPr>
              <w:t>0.788</w:t>
            </w:r>
          </w:p>
        </w:tc>
      </w:tr>
      <w:tr w:rsidR="00A576B9" w:rsidRPr="00A576B9" w14:paraId="5836E677" w14:textId="77777777" w:rsidTr="00A576B9">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439B0C25" w14:textId="77777777" w:rsidR="00A576B9" w:rsidRPr="00A576B9" w:rsidRDefault="00A576B9" w:rsidP="00A576B9">
            <w:pPr>
              <w:spacing w:before="0" w:line="240" w:lineRule="auto"/>
              <w:ind w:firstLine="0"/>
              <w:rPr>
                <w:color w:val="000000"/>
                <w:sz w:val="16"/>
                <w:szCs w:val="16"/>
                <w:lang w:val="es-CO" w:eastAsia="es-MX"/>
              </w:rPr>
            </w:pPr>
            <w:r w:rsidRPr="00A576B9">
              <w:rPr>
                <w:sz w:val="16"/>
                <w:szCs w:val="16"/>
                <w:lang w:val="es-CO" w:eastAsia="es-MX"/>
              </w:rPr>
              <w:t>Inversiones fallidas en nuevas tecnologías para reducir las emisiones</w:t>
            </w:r>
          </w:p>
        </w:tc>
        <w:tc>
          <w:tcPr>
            <w:tcW w:w="709" w:type="dxa"/>
            <w:tcBorders>
              <w:top w:val="nil"/>
              <w:left w:val="nil"/>
              <w:bottom w:val="single" w:sz="4" w:space="0" w:color="auto"/>
              <w:right w:val="single" w:sz="4" w:space="0" w:color="auto"/>
            </w:tcBorders>
            <w:shd w:val="clear" w:color="auto" w:fill="auto"/>
            <w:noWrap/>
            <w:vAlign w:val="center"/>
            <w:hideMark/>
          </w:tcPr>
          <w:p w14:paraId="2E2DC12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RT4</w:t>
            </w:r>
          </w:p>
        </w:tc>
        <w:tc>
          <w:tcPr>
            <w:tcW w:w="567" w:type="dxa"/>
            <w:tcBorders>
              <w:top w:val="nil"/>
              <w:left w:val="nil"/>
              <w:bottom w:val="single" w:sz="4" w:space="0" w:color="auto"/>
              <w:right w:val="single" w:sz="4" w:space="0" w:color="auto"/>
            </w:tcBorders>
            <w:shd w:val="clear" w:color="auto" w:fill="auto"/>
            <w:noWrap/>
            <w:vAlign w:val="center"/>
            <w:hideMark/>
          </w:tcPr>
          <w:p w14:paraId="2C56F917" w14:textId="3A7A779B"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w:t>
            </w:r>
          </w:p>
        </w:tc>
        <w:tc>
          <w:tcPr>
            <w:tcW w:w="572" w:type="dxa"/>
            <w:tcBorders>
              <w:top w:val="nil"/>
              <w:left w:val="nil"/>
              <w:bottom w:val="single" w:sz="4" w:space="0" w:color="auto"/>
              <w:right w:val="single" w:sz="4" w:space="0" w:color="auto"/>
            </w:tcBorders>
            <w:shd w:val="clear" w:color="auto" w:fill="auto"/>
            <w:noWrap/>
            <w:vAlign w:val="center"/>
            <w:hideMark/>
          </w:tcPr>
          <w:p w14:paraId="1F9EA2A0" w14:textId="4EE7B91E"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0.825</w:t>
            </w:r>
          </w:p>
        </w:tc>
        <w:tc>
          <w:tcPr>
            <w:tcW w:w="1559" w:type="dxa"/>
            <w:tcBorders>
              <w:top w:val="nil"/>
              <w:left w:val="nil"/>
              <w:bottom w:val="single" w:sz="4" w:space="0" w:color="auto"/>
              <w:right w:val="single" w:sz="4" w:space="0" w:color="auto"/>
            </w:tcBorders>
            <w:shd w:val="clear" w:color="auto" w:fill="auto"/>
            <w:noWrap/>
            <w:vAlign w:val="center"/>
            <w:hideMark/>
          </w:tcPr>
          <w:p w14:paraId="23D1A19A" w14:textId="7189E0A8"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 xml:space="preserve">Muy </w:t>
            </w: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3C3163BE" w14:textId="5D61B713"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w:t>
            </w:r>
            <w:r>
              <w:rPr>
                <w:color w:val="000000"/>
                <w:sz w:val="16"/>
                <w:szCs w:val="16"/>
                <w:lang w:val="es-CO" w:eastAsia="es-MX"/>
              </w:rPr>
              <w:t xml:space="preserve"> Medio</w:t>
            </w:r>
            <w:r w:rsidRPr="00A576B9">
              <w:rPr>
                <w:color w:val="000000"/>
                <w:sz w:val="16"/>
                <w:szCs w:val="16"/>
                <w:lang w:val="es-CO" w:eastAsia="es-MX"/>
              </w:rPr>
              <w:t xml:space="preserve"> Alto</w:t>
            </w:r>
          </w:p>
        </w:tc>
        <w:tc>
          <w:tcPr>
            <w:tcW w:w="709" w:type="dxa"/>
            <w:tcBorders>
              <w:top w:val="nil"/>
              <w:left w:val="nil"/>
              <w:bottom w:val="single" w:sz="4" w:space="0" w:color="auto"/>
              <w:right w:val="single" w:sz="4" w:space="0" w:color="auto"/>
            </w:tcBorders>
            <w:shd w:val="clear" w:color="auto" w:fill="FFFF00"/>
            <w:noWrap/>
            <w:vAlign w:val="center"/>
            <w:hideMark/>
          </w:tcPr>
          <w:p w14:paraId="4DCC3ED9" w14:textId="127D65A2" w:rsidR="00A576B9" w:rsidRPr="00A576B9" w:rsidRDefault="00A576B9" w:rsidP="00A576B9">
            <w:pPr>
              <w:spacing w:before="0" w:line="240" w:lineRule="auto"/>
              <w:ind w:firstLine="0"/>
              <w:jc w:val="center"/>
              <w:rPr>
                <w:color w:val="000000"/>
                <w:sz w:val="16"/>
                <w:szCs w:val="16"/>
                <w:highlight w:val="yellow"/>
                <w:lang w:val="es-CO" w:eastAsia="es-MX"/>
              </w:rPr>
            </w:pPr>
            <w:r w:rsidRPr="00A576B9">
              <w:rPr>
                <w:color w:val="000000"/>
                <w:sz w:val="16"/>
                <w:szCs w:val="16"/>
                <w:lang w:val="es-CO" w:eastAsia="es-MX"/>
              </w:rPr>
              <w:t xml:space="preserve">Riesgo </w:t>
            </w:r>
            <w:r>
              <w:rPr>
                <w:color w:val="000000"/>
                <w:sz w:val="16"/>
                <w:szCs w:val="16"/>
                <w:lang w:val="es-CO" w:eastAsia="es-MX"/>
              </w:rPr>
              <w:t>Medio</w:t>
            </w:r>
          </w:p>
        </w:tc>
        <w:tc>
          <w:tcPr>
            <w:tcW w:w="709" w:type="dxa"/>
            <w:tcBorders>
              <w:top w:val="nil"/>
              <w:left w:val="nil"/>
              <w:bottom w:val="single" w:sz="4" w:space="0" w:color="auto"/>
              <w:right w:val="single" w:sz="4" w:space="0" w:color="auto"/>
            </w:tcBorders>
            <w:shd w:val="clear" w:color="auto" w:fill="FFFF00"/>
          </w:tcPr>
          <w:p w14:paraId="2F93E7F8" w14:textId="6BB4215B" w:rsidR="00A576B9" w:rsidRPr="00A576B9" w:rsidRDefault="00804630" w:rsidP="00A576B9">
            <w:pPr>
              <w:spacing w:before="0" w:line="240" w:lineRule="auto"/>
              <w:ind w:firstLine="0"/>
              <w:jc w:val="center"/>
              <w:rPr>
                <w:color w:val="000000"/>
                <w:sz w:val="16"/>
                <w:szCs w:val="16"/>
                <w:highlight w:val="yellow"/>
                <w:lang w:val="es-CO" w:eastAsia="es-MX"/>
              </w:rPr>
            </w:pPr>
            <w:r>
              <w:rPr>
                <w:color w:val="000000"/>
                <w:sz w:val="16"/>
                <w:szCs w:val="16"/>
                <w:highlight w:val="yellow"/>
                <w:lang w:val="es-CO" w:eastAsia="es-MX"/>
              </w:rPr>
              <w:t>0.4</w:t>
            </w:r>
            <w:r w:rsidR="00355D8A">
              <w:rPr>
                <w:color w:val="000000"/>
                <w:sz w:val="16"/>
                <w:szCs w:val="16"/>
                <w:highlight w:val="yellow"/>
                <w:lang w:val="es-CO" w:eastAsia="es-MX"/>
              </w:rPr>
              <w:t>00</w:t>
            </w:r>
          </w:p>
        </w:tc>
      </w:tr>
      <w:tr w:rsidR="00A576B9" w:rsidRPr="00A576B9" w14:paraId="394EA5A8"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4D34471C"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Cambio en la demanda de productos y servicios</w:t>
            </w:r>
          </w:p>
        </w:tc>
        <w:tc>
          <w:tcPr>
            <w:tcW w:w="709" w:type="dxa"/>
            <w:tcBorders>
              <w:top w:val="nil"/>
              <w:left w:val="nil"/>
              <w:bottom w:val="single" w:sz="4" w:space="0" w:color="auto"/>
              <w:right w:val="single" w:sz="4" w:space="0" w:color="auto"/>
            </w:tcBorders>
            <w:shd w:val="clear" w:color="auto" w:fill="auto"/>
            <w:noWrap/>
            <w:vAlign w:val="center"/>
            <w:hideMark/>
          </w:tcPr>
          <w:p w14:paraId="6998DBE1"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RM1</w:t>
            </w:r>
          </w:p>
        </w:tc>
        <w:tc>
          <w:tcPr>
            <w:tcW w:w="567" w:type="dxa"/>
            <w:tcBorders>
              <w:top w:val="nil"/>
              <w:left w:val="nil"/>
              <w:bottom w:val="single" w:sz="4" w:space="0" w:color="auto"/>
              <w:right w:val="single" w:sz="4" w:space="0" w:color="auto"/>
            </w:tcBorders>
            <w:shd w:val="clear" w:color="auto" w:fill="auto"/>
            <w:noWrap/>
            <w:vAlign w:val="center"/>
            <w:hideMark/>
          </w:tcPr>
          <w:p w14:paraId="2838375B" w14:textId="19AA187C"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0.232</w:t>
            </w:r>
          </w:p>
        </w:tc>
        <w:tc>
          <w:tcPr>
            <w:tcW w:w="572" w:type="dxa"/>
            <w:tcBorders>
              <w:top w:val="nil"/>
              <w:left w:val="nil"/>
              <w:bottom w:val="single" w:sz="4" w:space="0" w:color="auto"/>
              <w:right w:val="single" w:sz="4" w:space="0" w:color="auto"/>
            </w:tcBorders>
            <w:shd w:val="clear" w:color="auto" w:fill="auto"/>
            <w:noWrap/>
            <w:vAlign w:val="center"/>
            <w:hideMark/>
          </w:tcPr>
          <w:p w14:paraId="0FB07820" w14:textId="55FCC411"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0.839</w:t>
            </w:r>
          </w:p>
        </w:tc>
        <w:tc>
          <w:tcPr>
            <w:tcW w:w="1559" w:type="dxa"/>
            <w:tcBorders>
              <w:top w:val="nil"/>
              <w:left w:val="nil"/>
              <w:bottom w:val="single" w:sz="4" w:space="0" w:color="auto"/>
              <w:right w:val="single" w:sz="4" w:space="0" w:color="auto"/>
            </w:tcBorders>
            <w:shd w:val="clear" w:color="auto" w:fill="auto"/>
            <w:noWrap/>
            <w:vAlign w:val="center"/>
            <w:hideMark/>
          </w:tcPr>
          <w:p w14:paraId="7FFD23D6" w14:textId="7AFD67B4"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 xml:space="preserve">Muy </w:t>
            </w: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2D54BC2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26C233B4"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03464195" w14:textId="4A877685"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0.47</w:t>
            </w:r>
            <w:r w:rsidR="00355D8A">
              <w:rPr>
                <w:color w:val="000000"/>
                <w:sz w:val="16"/>
                <w:szCs w:val="16"/>
                <w:lang w:val="es-CO" w:eastAsia="es-MX"/>
              </w:rPr>
              <w:t>0</w:t>
            </w:r>
          </w:p>
        </w:tc>
      </w:tr>
      <w:tr w:rsidR="00A576B9" w:rsidRPr="00A576B9" w14:paraId="5EFB4A68"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1935DE2D"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Materias primas e insumos: volatilidad de precios y disponibilidad</w:t>
            </w:r>
          </w:p>
        </w:tc>
        <w:tc>
          <w:tcPr>
            <w:tcW w:w="709" w:type="dxa"/>
            <w:tcBorders>
              <w:top w:val="nil"/>
              <w:left w:val="nil"/>
              <w:bottom w:val="single" w:sz="4" w:space="0" w:color="auto"/>
              <w:right w:val="single" w:sz="4" w:space="0" w:color="auto"/>
            </w:tcBorders>
            <w:shd w:val="clear" w:color="auto" w:fill="auto"/>
            <w:noWrap/>
            <w:vAlign w:val="center"/>
            <w:hideMark/>
          </w:tcPr>
          <w:p w14:paraId="42991B0C"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RM2</w:t>
            </w:r>
          </w:p>
        </w:tc>
        <w:tc>
          <w:tcPr>
            <w:tcW w:w="567" w:type="dxa"/>
            <w:tcBorders>
              <w:top w:val="nil"/>
              <w:left w:val="nil"/>
              <w:bottom w:val="single" w:sz="4" w:space="0" w:color="auto"/>
              <w:right w:val="single" w:sz="4" w:space="0" w:color="auto"/>
            </w:tcBorders>
            <w:shd w:val="clear" w:color="auto" w:fill="auto"/>
            <w:noWrap/>
            <w:vAlign w:val="center"/>
            <w:hideMark/>
          </w:tcPr>
          <w:p w14:paraId="06AF65C4" w14:textId="5CFAAF38"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1</w:t>
            </w:r>
          </w:p>
        </w:tc>
        <w:tc>
          <w:tcPr>
            <w:tcW w:w="572" w:type="dxa"/>
            <w:tcBorders>
              <w:top w:val="nil"/>
              <w:left w:val="nil"/>
              <w:bottom w:val="single" w:sz="4" w:space="0" w:color="auto"/>
              <w:right w:val="single" w:sz="4" w:space="0" w:color="auto"/>
            </w:tcBorders>
            <w:shd w:val="clear" w:color="auto" w:fill="auto"/>
            <w:noWrap/>
            <w:vAlign w:val="center"/>
            <w:hideMark/>
          </w:tcPr>
          <w:p w14:paraId="11DFD1D8" w14:textId="1820D887"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1</w:t>
            </w:r>
          </w:p>
        </w:tc>
        <w:tc>
          <w:tcPr>
            <w:tcW w:w="1559" w:type="dxa"/>
            <w:tcBorders>
              <w:top w:val="nil"/>
              <w:left w:val="nil"/>
              <w:bottom w:val="single" w:sz="4" w:space="0" w:color="auto"/>
              <w:right w:val="single" w:sz="4" w:space="0" w:color="auto"/>
            </w:tcBorders>
            <w:shd w:val="clear" w:color="auto" w:fill="auto"/>
            <w:noWrap/>
            <w:vAlign w:val="center"/>
            <w:hideMark/>
          </w:tcPr>
          <w:p w14:paraId="52820370"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Muy Probable</w:t>
            </w:r>
          </w:p>
        </w:tc>
        <w:tc>
          <w:tcPr>
            <w:tcW w:w="1134" w:type="dxa"/>
            <w:tcBorders>
              <w:top w:val="nil"/>
              <w:left w:val="nil"/>
              <w:bottom w:val="single" w:sz="4" w:space="0" w:color="auto"/>
              <w:right w:val="single" w:sz="4" w:space="0" w:color="auto"/>
            </w:tcBorders>
            <w:shd w:val="clear" w:color="auto" w:fill="auto"/>
            <w:noWrap/>
            <w:vAlign w:val="center"/>
            <w:hideMark/>
          </w:tcPr>
          <w:p w14:paraId="60CAD3D3"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000000" w:fill="FF0000"/>
            <w:noWrap/>
            <w:vAlign w:val="center"/>
            <w:hideMark/>
          </w:tcPr>
          <w:p w14:paraId="602D3452" w14:textId="77777777" w:rsidR="00A576B9" w:rsidRPr="00A576B9" w:rsidRDefault="00A576B9" w:rsidP="00A576B9">
            <w:pPr>
              <w:spacing w:before="0" w:line="240" w:lineRule="auto"/>
              <w:ind w:firstLine="0"/>
              <w:jc w:val="center"/>
              <w:rPr>
                <w:color w:val="FFFFFF"/>
                <w:sz w:val="16"/>
                <w:szCs w:val="16"/>
                <w:lang w:val="es-CO" w:eastAsia="es-MX"/>
              </w:rPr>
            </w:pPr>
            <w:r w:rsidRPr="00A576B9">
              <w:rPr>
                <w:color w:val="FFFFFF"/>
                <w:sz w:val="16"/>
                <w:szCs w:val="16"/>
                <w:lang w:val="es-CO" w:eastAsia="es-MX"/>
              </w:rPr>
              <w:t>Riesgo Crítico</w:t>
            </w:r>
          </w:p>
        </w:tc>
        <w:tc>
          <w:tcPr>
            <w:tcW w:w="709" w:type="dxa"/>
            <w:tcBorders>
              <w:top w:val="nil"/>
              <w:left w:val="nil"/>
              <w:bottom w:val="single" w:sz="4" w:space="0" w:color="auto"/>
              <w:right w:val="single" w:sz="4" w:space="0" w:color="auto"/>
            </w:tcBorders>
            <w:shd w:val="clear" w:color="000000" w:fill="FF0000"/>
          </w:tcPr>
          <w:p w14:paraId="413D127E" w14:textId="1CD9A14E" w:rsidR="00A576B9" w:rsidRPr="00A576B9" w:rsidRDefault="00804630" w:rsidP="00A576B9">
            <w:pPr>
              <w:spacing w:before="0" w:line="240" w:lineRule="auto"/>
              <w:ind w:firstLine="0"/>
              <w:jc w:val="center"/>
              <w:rPr>
                <w:color w:val="FFFFFF"/>
                <w:sz w:val="16"/>
                <w:szCs w:val="16"/>
                <w:lang w:val="es-CO" w:eastAsia="es-MX"/>
              </w:rPr>
            </w:pPr>
            <w:r>
              <w:rPr>
                <w:color w:val="FFFFFF"/>
                <w:sz w:val="16"/>
                <w:szCs w:val="16"/>
                <w:lang w:val="es-CO" w:eastAsia="es-MX"/>
              </w:rPr>
              <w:t>0.867</w:t>
            </w:r>
          </w:p>
        </w:tc>
      </w:tr>
      <w:tr w:rsidR="00A576B9" w:rsidRPr="00A576B9" w14:paraId="5F96A8C3" w14:textId="77777777" w:rsidTr="00A576B9">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6962616E" w14:textId="77777777" w:rsidR="00A576B9" w:rsidRPr="00A576B9" w:rsidRDefault="00A576B9" w:rsidP="00A576B9">
            <w:pPr>
              <w:spacing w:before="0" w:line="240" w:lineRule="auto"/>
              <w:ind w:firstLine="0"/>
              <w:rPr>
                <w:color w:val="000000"/>
                <w:sz w:val="16"/>
                <w:szCs w:val="16"/>
                <w:lang w:val="es-CO" w:eastAsia="es-MX"/>
              </w:rPr>
            </w:pPr>
            <w:r w:rsidRPr="00A576B9">
              <w:rPr>
                <w:sz w:val="16"/>
                <w:szCs w:val="16"/>
                <w:lang w:val="es-CO" w:eastAsia="es-MX"/>
              </w:rPr>
              <w:t xml:space="preserve">Preocupación de los </w:t>
            </w:r>
            <w:proofErr w:type="spellStart"/>
            <w:r w:rsidRPr="00A576B9">
              <w:rPr>
                <w:sz w:val="16"/>
                <w:szCs w:val="16"/>
                <w:lang w:val="es-CO" w:eastAsia="es-MX"/>
              </w:rPr>
              <w:t>stakeholders</w:t>
            </w:r>
            <w:proofErr w:type="spellEnd"/>
            <w:r w:rsidRPr="00A576B9">
              <w:rPr>
                <w:sz w:val="16"/>
                <w:szCs w:val="16"/>
                <w:lang w:val="es-CO" w:eastAsia="es-MX"/>
              </w:rPr>
              <w:t xml:space="preserve"> por el cambio climático</w:t>
            </w:r>
          </w:p>
        </w:tc>
        <w:tc>
          <w:tcPr>
            <w:tcW w:w="709" w:type="dxa"/>
            <w:tcBorders>
              <w:top w:val="nil"/>
              <w:left w:val="nil"/>
              <w:bottom w:val="single" w:sz="4" w:space="0" w:color="auto"/>
              <w:right w:val="single" w:sz="4" w:space="0" w:color="auto"/>
            </w:tcBorders>
            <w:shd w:val="clear" w:color="auto" w:fill="auto"/>
            <w:noWrap/>
            <w:vAlign w:val="center"/>
            <w:hideMark/>
          </w:tcPr>
          <w:p w14:paraId="7E409724"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RM3</w:t>
            </w:r>
          </w:p>
        </w:tc>
        <w:tc>
          <w:tcPr>
            <w:tcW w:w="567" w:type="dxa"/>
            <w:tcBorders>
              <w:top w:val="nil"/>
              <w:left w:val="nil"/>
              <w:bottom w:val="single" w:sz="4" w:space="0" w:color="auto"/>
              <w:right w:val="single" w:sz="4" w:space="0" w:color="auto"/>
            </w:tcBorders>
            <w:shd w:val="clear" w:color="auto" w:fill="auto"/>
            <w:noWrap/>
            <w:vAlign w:val="center"/>
            <w:hideMark/>
          </w:tcPr>
          <w:p w14:paraId="0EF34CA6" w14:textId="2173BE5A"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0.429</w:t>
            </w:r>
          </w:p>
        </w:tc>
        <w:tc>
          <w:tcPr>
            <w:tcW w:w="572" w:type="dxa"/>
            <w:tcBorders>
              <w:top w:val="nil"/>
              <w:left w:val="nil"/>
              <w:bottom w:val="single" w:sz="4" w:space="0" w:color="auto"/>
              <w:right w:val="single" w:sz="4" w:space="0" w:color="auto"/>
            </w:tcBorders>
            <w:shd w:val="clear" w:color="auto" w:fill="auto"/>
            <w:noWrap/>
            <w:vAlign w:val="center"/>
            <w:hideMark/>
          </w:tcPr>
          <w:p w14:paraId="26D0267E" w14:textId="13C59A80"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0.874</w:t>
            </w:r>
          </w:p>
        </w:tc>
        <w:tc>
          <w:tcPr>
            <w:tcW w:w="1559" w:type="dxa"/>
            <w:tcBorders>
              <w:top w:val="nil"/>
              <w:left w:val="nil"/>
              <w:bottom w:val="single" w:sz="4" w:space="0" w:color="auto"/>
              <w:right w:val="single" w:sz="4" w:space="0" w:color="auto"/>
            </w:tcBorders>
            <w:shd w:val="clear" w:color="auto" w:fill="auto"/>
            <w:noWrap/>
            <w:vAlign w:val="center"/>
            <w:hideMark/>
          </w:tcPr>
          <w:p w14:paraId="1A616D5E"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26AD6E77" w14:textId="4D08AB98"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Alto</w:t>
            </w:r>
          </w:p>
        </w:tc>
        <w:tc>
          <w:tcPr>
            <w:tcW w:w="709" w:type="dxa"/>
            <w:tcBorders>
              <w:top w:val="nil"/>
              <w:left w:val="nil"/>
              <w:bottom w:val="single" w:sz="4" w:space="0" w:color="auto"/>
              <w:right w:val="single" w:sz="4" w:space="0" w:color="auto"/>
            </w:tcBorders>
            <w:shd w:val="clear" w:color="auto" w:fill="FFC000"/>
            <w:noWrap/>
            <w:vAlign w:val="center"/>
            <w:hideMark/>
          </w:tcPr>
          <w:p w14:paraId="6673915D" w14:textId="21C4961C"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 xml:space="preserve">Riesgo </w:t>
            </w:r>
            <w:r>
              <w:rPr>
                <w:color w:val="000000"/>
                <w:sz w:val="16"/>
                <w:szCs w:val="16"/>
                <w:lang w:val="es-CO" w:eastAsia="es-MX"/>
              </w:rPr>
              <w:t>Alto</w:t>
            </w:r>
          </w:p>
        </w:tc>
        <w:tc>
          <w:tcPr>
            <w:tcW w:w="709" w:type="dxa"/>
            <w:tcBorders>
              <w:top w:val="nil"/>
              <w:left w:val="nil"/>
              <w:bottom w:val="single" w:sz="4" w:space="0" w:color="auto"/>
              <w:right w:val="single" w:sz="4" w:space="0" w:color="auto"/>
            </w:tcBorders>
            <w:shd w:val="clear" w:color="auto" w:fill="FFC000"/>
          </w:tcPr>
          <w:p w14:paraId="7A9C7738" w14:textId="49DAB4C4"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0.52</w:t>
            </w:r>
            <w:r w:rsidR="00355D8A">
              <w:rPr>
                <w:color w:val="000000"/>
                <w:sz w:val="16"/>
                <w:szCs w:val="16"/>
                <w:lang w:val="es-CO" w:eastAsia="es-MX"/>
              </w:rPr>
              <w:t>0</w:t>
            </w:r>
          </w:p>
        </w:tc>
      </w:tr>
      <w:tr w:rsidR="00A576B9" w:rsidRPr="00A576B9" w14:paraId="64BE661B"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31D51FC6"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Poca adaptación a los cambios en el comportamiento de los clientes</w:t>
            </w:r>
          </w:p>
        </w:tc>
        <w:tc>
          <w:tcPr>
            <w:tcW w:w="709" w:type="dxa"/>
            <w:tcBorders>
              <w:top w:val="nil"/>
              <w:left w:val="nil"/>
              <w:bottom w:val="single" w:sz="4" w:space="0" w:color="auto"/>
              <w:right w:val="single" w:sz="4" w:space="0" w:color="auto"/>
            </w:tcBorders>
            <w:shd w:val="clear" w:color="auto" w:fill="auto"/>
            <w:noWrap/>
            <w:vAlign w:val="center"/>
            <w:hideMark/>
          </w:tcPr>
          <w:p w14:paraId="5830CE16"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RM4</w:t>
            </w:r>
          </w:p>
        </w:tc>
        <w:tc>
          <w:tcPr>
            <w:tcW w:w="567" w:type="dxa"/>
            <w:tcBorders>
              <w:top w:val="nil"/>
              <w:left w:val="nil"/>
              <w:bottom w:val="single" w:sz="4" w:space="0" w:color="auto"/>
              <w:right w:val="single" w:sz="4" w:space="0" w:color="auto"/>
            </w:tcBorders>
            <w:shd w:val="clear" w:color="auto" w:fill="auto"/>
            <w:noWrap/>
            <w:vAlign w:val="center"/>
            <w:hideMark/>
          </w:tcPr>
          <w:p w14:paraId="635F160E" w14:textId="69DFEA0E"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w:t>
            </w:r>
          </w:p>
        </w:tc>
        <w:tc>
          <w:tcPr>
            <w:tcW w:w="572" w:type="dxa"/>
            <w:tcBorders>
              <w:top w:val="nil"/>
              <w:left w:val="nil"/>
              <w:bottom w:val="single" w:sz="4" w:space="0" w:color="auto"/>
              <w:right w:val="single" w:sz="4" w:space="0" w:color="auto"/>
            </w:tcBorders>
            <w:shd w:val="clear" w:color="auto" w:fill="auto"/>
            <w:noWrap/>
            <w:vAlign w:val="center"/>
            <w:hideMark/>
          </w:tcPr>
          <w:p w14:paraId="51DDFEC9" w14:textId="7001C917"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0.804</w:t>
            </w:r>
          </w:p>
        </w:tc>
        <w:tc>
          <w:tcPr>
            <w:tcW w:w="1559" w:type="dxa"/>
            <w:tcBorders>
              <w:top w:val="nil"/>
              <w:left w:val="nil"/>
              <w:bottom w:val="single" w:sz="4" w:space="0" w:color="auto"/>
              <w:right w:val="single" w:sz="4" w:space="0" w:color="auto"/>
            </w:tcBorders>
            <w:shd w:val="clear" w:color="auto" w:fill="auto"/>
            <w:noWrap/>
            <w:vAlign w:val="center"/>
            <w:hideMark/>
          </w:tcPr>
          <w:p w14:paraId="4C844DD8"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Muy Improbable</w:t>
            </w:r>
          </w:p>
        </w:tc>
        <w:tc>
          <w:tcPr>
            <w:tcW w:w="1134" w:type="dxa"/>
            <w:tcBorders>
              <w:top w:val="nil"/>
              <w:left w:val="nil"/>
              <w:bottom w:val="single" w:sz="4" w:space="0" w:color="auto"/>
              <w:right w:val="single" w:sz="4" w:space="0" w:color="auto"/>
            </w:tcBorders>
            <w:shd w:val="clear" w:color="auto" w:fill="auto"/>
            <w:noWrap/>
            <w:vAlign w:val="center"/>
            <w:hideMark/>
          </w:tcPr>
          <w:p w14:paraId="0AAB35BB"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65390DBD"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58D0FE73" w14:textId="124B4CE7"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w:t>
            </w:r>
            <w:r w:rsidR="00355D8A">
              <w:rPr>
                <w:color w:val="000000"/>
                <w:sz w:val="16"/>
                <w:szCs w:val="16"/>
                <w:lang w:val="es-CO" w:eastAsia="es-MX"/>
              </w:rPr>
              <w:t>00</w:t>
            </w:r>
          </w:p>
        </w:tc>
      </w:tr>
      <w:tr w:rsidR="00A576B9" w:rsidRPr="00A576B9" w14:paraId="51097F09"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775FFBF6"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Cambios en las preferencias de los consumidores</w:t>
            </w:r>
          </w:p>
        </w:tc>
        <w:tc>
          <w:tcPr>
            <w:tcW w:w="709" w:type="dxa"/>
            <w:tcBorders>
              <w:top w:val="nil"/>
              <w:left w:val="nil"/>
              <w:bottom w:val="single" w:sz="4" w:space="0" w:color="auto"/>
              <w:right w:val="single" w:sz="4" w:space="0" w:color="auto"/>
            </w:tcBorders>
            <w:shd w:val="clear" w:color="auto" w:fill="auto"/>
            <w:noWrap/>
            <w:vAlign w:val="center"/>
            <w:hideMark/>
          </w:tcPr>
          <w:p w14:paraId="38520A9F"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Rrep1</w:t>
            </w:r>
          </w:p>
        </w:tc>
        <w:tc>
          <w:tcPr>
            <w:tcW w:w="567" w:type="dxa"/>
            <w:tcBorders>
              <w:top w:val="nil"/>
              <w:left w:val="nil"/>
              <w:bottom w:val="single" w:sz="4" w:space="0" w:color="auto"/>
              <w:right w:val="single" w:sz="4" w:space="0" w:color="auto"/>
            </w:tcBorders>
            <w:shd w:val="clear" w:color="auto" w:fill="auto"/>
            <w:noWrap/>
            <w:vAlign w:val="center"/>
            <w:hideMark/>
          </w:tcPr>
          <w:p w14:paraId="3E6E5226" w14:textId="14C53FBB"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0.214</w:t>
            </w:r>
          </w:p>
        </w:tc>
        <w:tc>
          <w:tcPr>
            <w:tcW w:w="572" w:type="dxa"/>
            <w:tcBorders>
              <w:top w:val="nil"/>
              <w:left w:val="nil"/>
              <w:bottom w:val="single" w:sz="4" w:space="0" w:color="auto"/>
              <w:right w:val="single" w:sz="4" w:space="0" w:color="auto"/>
            </w:tcBorders>
            <w:shd w:val="clear" w:color="auto" w:fill="auto"/>
            <w:noWrap/>
            <w:vAlign w:val="center"/>
            <w:hideMark/>
          </w:tcPr>
          <w:p w14:paraId="29525439" w14:textId="18EE2D64"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0.853</w:t>
            </w:r>
          </w:p>
        </w:tc>
        <w:tc>
          <w:tcPr>
            <w:tcW w:w="1559" w:type="dxa"/>
            <w:tcBorders>
              <w:top w:val="nil"/>
              <w:left w:val="nil"/>
              <w:bottom w:val="single" w:sz="4" w:space="0" w:color="auto"/>
              <w:right w:val="single" w:sz="4" w:space="0" w:color="auto"/>
            </w:tcBorders>
            <w:shd w:val="clear" w:color="auto" w:fill="auto"/>
            <w:noWrap/>
            <w:vAlign w:val="center"/>
            <w:hideMark/>
          </w:tcPr>
          <w:p w14:paraId="5675CF1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Muy Improbable</w:t>
            </w:r>
          </w:p>
        </w:tc>
        <w:tc>
          <w:tcPr>
            <w:tcW w:w="1134" w:type="dxa"/>
            <w:tcBorders>
              <w:top w:val="nil"/>
              <w:left w:val="nil"/>
              <w:bottom w:val="single" w:sz="4" w:space="0" w:color="auto"/>
              <w:right w:val="single" w:sz="4" w:space="0" w:color="auto"/>
            </w:tcBorders>
            <w:shd w:val="clear" w:color="auto" w:fill="auto"/>
            <w:noWrap/>
            <w:vAlign w:val="center"/>
            <w:hideMark/>
          </w:tcPr>
          <w:p w14:paraId="0095C08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0C06DBF9"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7E31A164" w14:textId="1F88C55B"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0.446</w:t>
            </w:r>
          </w:p>
        </w:tc>
      </w:tr>
      <w:tr w:rsidR="00A576B9" w:rsidRPr="00A576B9" w14:paraId="7C0E5D57"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745B6EAF"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Presiones crecientes de organizaciones no gubernamentales</w:t>
            </w:r>
          </w:p>
        </w:tc>
        <w:tc>
          <w:tcPr>
            <w:tcW w:w="709" w:type="dxa"/>
            <w:tcBorders>
              <w:top w:val="nil"/>
              <w:left w:val="nil"/>
              <w:bottom w:val="single" w:sz="4" w:space="0" w:color="auto"/>
              <w:right w:val="single" w:sz="4" w:space="0" w:color="auto"/>
            </w:tcBorders>
            <w:shd w:val="clear" w:color="auto" w:fill="auto"/>
            <w:noWrap/>
            <w:vAlign w:val="center"/>
            <w:hideMark/>
          </w:tcPr>
          <w:p w14:paraId="72B2176C"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Rrep2</w:t>
            </w:r>
          </w:p>
        </w:tc>
        <w:tc>
          <w:tcPr>
            <w:tcW w:w="567" w:type="dxa"/>
            <w:tcBorders>
              <w:top w:val="nil"/>
              <w:left w:val="nil"/>
              <w:bottom w:val="single" w:sz="4" w:space="0" w:color="auto"/>
              <w:right w:val="single" w:sz="4" w:space="0" w:color="auto"/>
            </w:tcBorders>
            <w:shd w:val="clear" w:color="auto" w:fill="auto"/>
            <w:noWrap/>
            <w:vAlign w:val="center"/>
            <w:hideMark/>
          </w:tcPr>
          <w:p w14:paraId="35398126" w14:textId="3BC8E2FF"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0.429</w:t>
            </w:r>
          </w:p>
        </w:tc>
        <w:tc>
          <w:tcPr>
            <w:tcW w:w="572" w:type="dxa"/>
            <w:tcBorders>
              <w:top w:val="nil"/>
              <w:left w:val="nil"/>
              <w:bottom w:val="single" w:sz="4" w:space="0" w:color="auto"/>
              <w:right w:val="single" w:sz="4" w:space="0" w:color="auto"/>
            </w:tcBorders>
            <w:shd w:val="clear" w:color="auto" w:fill="auto"/>
            <w:noWrap/>
            <w:vAlign w:val="center"/>
            <w:hideMark/>
          </w:tcPr>
          <w:p w14:paraId="7A1C4C78" w14:textId="3CB04376"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0.818</w:t>
            </w:r>
          </w:p>
        </w:tc>
        <w:tc>
          <w:tcPr>
            <w:tcW w:w="1559" w:type="dxa"/>
            <w:tcBorders>
              <w:top w:val="nil"/>
              <w:left w:val="nil"/>
              <w:bottom w:val="single" w:sz="4" w:space="0" w:color="auto"/>
              <w:right w:val="single" w:sz="4" w:space="0" w:color="auto"/>
            </w:tcBorders>
            <w:shd w:val="clear" w:color="auto" w:fill="auto"/>
            <w:noWrap/>
            <w:vAlign w:val="center"/>
            <w:hideMark/>
          </w:tcPr>
          <w:p w14:paraId="2AAE843E"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041400B0"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0E6B2254"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3F10A172" w14:textId="3C42AEDC"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0.456</w:t>
            </w:r>
          </w:p>
        </w:tc>
      </w:tr>
      <w:tr w:rsidR="00A576B9" w:rsidRPr="00A576B9" w14:paraId="0D2E82CF"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4E1FC505"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Noticias y comentarios negativos hacia la empresa</w:t>
            </w:r>
          </w:p>
        </w:tc>
        <w:tc>
          <w:tcPr>
            <w:tcW w:w="709" w:type="dxa"/>
            <w:tcBorders>
              <w:top w:val="nil"/>
              <w:left w:val="nil"/>
              <w:bottom w:val="single" w:sz="4" w:space="0" w:color="auto"/>
              <w:right w:val="single" w:sz="4" w:space="0" w:color="auto"/>
            </w:tcBorders>
            <w:shd w:val="clear" w:color="auto" w:fill="auto"/>
            <w:noWrap/>
            <w:vAlign w:val="center"/>
            <w:hideMark/>
          </w:tcPr>
          <w:p w14:paraId="33D638BE"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Rrep3</w:t>
            </w:r>
          </w:p>
        </w:tc>
        <w:tc>
          <w:tcPr>
            <w:tcW w:w="567" w:type="dxa"/>
            <w:tcBorders>
              <w:top w:val="nil"/>
              <w:left w:val="nil"/>
              <w:bottom w:val="single" w:sz="4" w:space="0" w:color="auto"/>
              <w:right w:val="single" w:sz="4" w:space="0" w:color="auto"/>
            </w:tcBorders>
            <w:shd w:val="clear" w:color="auto" w:fill="auto"/>
            <w:noWrap/>
            <w:vAlign w:val="center"/>
            <w:hideMark/>
          </w:tcPr>
          <w:p w14:paraId="3C4BA864" w14:textId="1D86534C"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0.375</w:t>
            </w:r>
          </w:p>
        </w:tc>
        <w:tc>
          <w:tcPr>
            <w:tcW w:w="572" w:type="dxa"/>
            <w:tcBorders>
              <w:top w:val="nil"/>
              <w:left w:val="nil"/>
              <w:bottom w:val="single" w:sz="4" w:space="0" w:color="auto"/>
              <w:right w:val="single" w:sz="4" w:space="0" w:color="auto"/>
            </w:tcBorders>
            <w:shd w:val="clear" w:color="auto" w:fill="auto"/>
            <w:noWrap/>
            <w:vAlign w:val="center"/>
            <w:hideMark/>
          </w:tcPr>
          <w:p w14:paraId="3D87D63A" w14:textId="4FD70944"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0.783</w:t>
            </w:r>
          </w:p>
        </w:tc>
        <w:tc>
          <w:tcPr>
            <w:tcW w:w="1559" w:type="dxa"/>
            <w:tcBorders>
              <w:top w:val="nil"/>
              <w:left w:val="nil"/>
              <w:bottom w:val="single" w:sz="4" w:space="0" w:color="auto"/>
              <w:right w:val="single" w:sz="4" w:space="0" w:color="auto"/>
            </w:tcBorders>
            <w:shd w:val="clear" w:color="auto" w:fill="auto"/>
            <w:noWrap/>
            <w:vAlign w:val="center"/>
            <w:hideMark/>
          </w:tcPr>
          <w:p w14:paraId="1F323701"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Improbable</w:t>
            </w:r>
          </w:p>
        </w:tc>
        <w:tc>
          <w:tcPr>
            <w:tcW w:w="1134" w:type="dxa"/>
            <w:tcBorders>
              <w:top w:val="nil"/>
              <w:left w:val="nil"/>
              <w:bottom w:val="single" w:sz="4" w:space="0" w:color="auto"/>
              <w:right w:val="single" w:sz="4" w:space="0" w:color="auto"/>
            </w:tcBorders>
            <w:shd w:val="clear" w:color="auto" w:fill="auto"/>
            <w:noWrap/>
            <w:vAlign w:val="center"/>
            <w:hideMark/>
          </w:tcPr>
          <w:p w14:paraId="6474E339"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733DF4F2"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2AEACFB1" w14:textId="2A564450"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0.4</w:t>
            </w:r>
            <w:r w:rsidR="00355D8A">
              <w:rPr>
                <w:color w:val="000000"/>
                <w:sz w:val="16"/>
                <w:szCs w:val="16"/>
                <w:lang w:val="es-CO" w:eastAsia="es-MX"/>
              </w:rPr>
              <w:t>00</w:t>
            </w:r>
          </w:p>
        </w:tc>
      </w:tr>
      <w:tr w:rsidR="00A576B9" w:rsidRPr="00A576B9" w14:paraId="6D996D9D" w14:textId="77777777" w:rsidTr="00BB6E11">
        <w:trPr>
          <w:trHeight w:val="360"/>
          <w:jc w:val="center"/>
        </w:trPr>
        <w:tc>
          <w:tcPr>
            <w:tcW w:w="5665" w:type="dxa"/>
            <w:tcBorders>
              <w:top w:val="nil"/>
              <w:left w:val="single" w:sz="4" w:space="0" w:color="auto"/>
              <w:bottom w:val="single" w:sz="4" w:space="0" w:color="auto"/>
              <w:right w:val="single" w:sz="4" w:space="0" w:color="auto"/>
            </w:tcBorders>
            <w:shd w:val="clear" w:color="auto" w:fill="auto"/>
            <w:noWrap/>
            <w:vAlign w:val="center"/>
            <w:hideMark/>
          </w:tcPr>
          <w:p w14:paraId="4C5CF9F1" w14:textId="77777777" w:rsidR="00A576B9" w:rsidRPr="00A576B9" w:rsidRDefault="00A576B9" w:rsidP="00A576B9">
            <w:pPr>
              <w:spacing w:before="0" w:line="240" w:lineRule="auto"/>
              <w:ind w:firstLine="0"/>
              <w:rPr>
                <w:color w:val="000000"/>
                <w:sz w:val="16"/>
                <w:szCs w:val="16"/>
                <w:lang w:val="es-CO" w:eastAsia="es-MX"/>
              </w:rPr>
            </w:pPr>
            <w:r w:rsidRPr="00A576B9">
              <w:rPr>
                <w:color w:val="000000"/>
                <w:sz w:val="16"/>
                <w:szCs w:val="16"/>
                <w:lang w:val="es-CO" w:eastAsia="es-MX"/>
              </w:rPr>
              <w:t>Cambios en el sentimiento del mercado inducidos por la conciencia de los riesgos climáticos futuros</w:t>
            </w:r>
          </w:p>
        </w:tc>
        <w:tc>
          <w:tcPr>
            <w:tcW w:w="709" w:type="dxa"/>
            <w:tcBorders>
              <w:top w:val="nil"/>
              <w:left w:val="nil"/>
              <w:bottom w:val="single" w:sz="4" w:space="0" w:color="auto"/>
              <w:right w:val="single" w:sz="4" w:space="0" w:color="auto"/>
            </w:tcBorders>
            <w:shd w:val="clear" w:color="auto" w:fill="auto"/>
            <w:noWrap/>
            <w:vAlign w:val="center"/>
            <w:hideMark/>
          </w:tcPr>
          <w:p w14:paraId="25ED7BFA"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Rrep4</w:t>
            </w:r>
          </w:p>
        </w:tc>
        <w:tc>
          <w:tcPr>
            <w:tcW w:w="567" w:type="dxa"/>
            <w:tcBorders>
              <w:top w:val="nil"/>
              <w:left w:val="nil"/>
              <w:bottom w:val="single" w:sz="4" w:space="0" w:color="auto"/>
              <w:right w:val="single" w:sz="4" w:space="0" w:color="auto"/>
            </w:tcBorders>
            <w:shd w:val="clear" w:color="auto" w:fill="auto"/>
            <w:noWrap/>
            <w:vAlign w:val="center"/>
            <w:hideMark/>
          </w:tcPr>
          <w:p w14:paraId="22B9EF1A" w14:textId="38FF0990"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0.2</w:t>
            </w:r>
          </w:p>
        </w:tc>
        <w:tc>
          <w:tcPr>
            <w:tcW w:w="572" w:type="dxa"/>
            <w:tcBorders>
              <w:top w:val="nil"/>
              <w:left w:val="nil"/>
              <w:bottom w:val="single" w:sz="4" w:space="0" w:color="auto"/>
              <w:right w:val="single" w:sz="4" w:space="0" w:color="auto"/>
            </w:tcBorders>
            <w:shd w:val="clear" w:color="auto" w:fill="auto"/>
            <w:noWrap/>
            <w:vAlign w:val="center"/>
            <w:hideMark/>
          </w:tcPr>
          <w:p w14:paraId="521684A6" w14:textId="21A1CC24" w:rsidR="00A576B9" w:rsidRPr="00A576B9" w:rsidRDefault="00A576B9" w:rsidP="00A576B9">
            <w:pPr>
              <w:spacing w:before="0" w:line="240" w:lineRule="auto"/>
              <w:ind w:firstLine="0"/>
              <w:jc w:val="center"/>
              <w:rPr>
                <w:color w:val="000000"/>
                <w:sz w:val="16"/>
                <w:szCs w:val="16"/>
                <w:lang w:val="es-CO" w:eastAsia="es-MX"/>
              </w:rPr>
            </w:pPr>
            <w:r>
              <w:rPr>
                <w:color w:val="000000"/>
                <w:sz w:val="16"/>
                <w:szCs w:val="16"/>
                <w:lang w:val="es-CO" w:eastAsia="es-MX"/>
              </w:rPr>
              <w:t>0.685</w:t>
            </w:r>
          </w:p>
        </w:tc>
        <w:tc>
          <w:tcPr>
            <w:tcW w:w="1559" w:type="dxa"/>
            <w:tcBorders>
              <w:top w:val="nil"/>
              <w:left w:val="nil"/>
              <w:bottom w:val="single" w:sz="4" w:space="0" w:color="auto"/>
              <w:right w:val="single" w:sz="4" w:space="0" w:color="auto"/>
            </w:tcBorders>
            <w:shd w:val="clear" w:color="auto" w:fill="auto"/>
            <w:noWrap/>
            <w:vAlign w:val="center"/>
            <w:hideMark/>
          </w:tcPr>
          <w:p w14:paraId="44EBA3BB"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Muy Improbable</w:t>
            </w:r>
          </w:p>
        </w:tc>
        <w:tc>
          <w:tcPr>
            <w:tcW w:w="1134" w:type="dxa"/>
            <w:tcBorders>
              <w:top w:val="nil"/>
              <w:left w:val="nil"/>
              <w:bottom w:val="single" w:sz="4" w:space="0" w:color="auto"/>
              <w:right w:val="single" w:sz="4" w:space="0" w:color="auto"/>
            </w:tcBorders>
            <w:shd w:val="clear" w:color="auto" w:fill="auto"/>
            <w:noWrap/>
            <w:vAlign w:val="center"/>
            <w:hideMark/>
          </w:tcPr>
          <w:p w14:paraId="1EF50518"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Impacto Medio Alto</w:t>
            </w:r>
          </w:p>
        </w:tc>
        <w:tc>
          <w:tcPr>
            <w:tcW w:w="709" w:type="dxa"/>
            <w:tcBorders>
              <w:top w:val="nil"/>
              <w:left w:val="nil"/>
              <w:bottom w:val="single" w:sz="4" w:space="0" w:color="auto"/>
              <w:right w:val="single" w:sz="4" w:space="0" w:color="auto"/>
            </w:tcBorders>
            <w:shd w:val="clear" w:color="000000" w:fill="FFFF00"/>
            <w:noWrap/>
            <w:vAlign w:val="center"/>
            <w:hideMark/>
          </w:tcPr>
          <w:p w14:paraId="38D11A20" w14:textId="77777777" w:rsidR="00A576B9" w:rsidRPr="00A576B9" w:rsidRDefault="00A576B9" w:rsidP="00A576B9">
            <w:pPr>
              <w:spacing w:before="0" w:line="240" w:lineRule="auto"/>
              <w:ind w:firstLine="0"/>
              <w:jc w:val="center"/>
              <w:rPr>
                <w:color w:val="000000"/>
                <w:sz w:val="16"/>
                <w:szCs w:val="16"/>
                <w:lang w:val="es-CO" w:eastAsia="es-MX"/>
              </w:rPr>
            </w:pPr>
            <w:r w:rsidRPr="00A576B9">
              <w:rPr>
                <w:color w:val="000000"/>
                <w:sz w:val="16"/>
                <w:szCs w:val="16"/>
                <w:lang w:val="es-CO" w:eastAsia="es-MX"/>
              </w:rPr>
              <w:t>Riesgo Medio</w:t>
            </w:r>
          </w:p>
        </w:tc>
        <w:tc>
          <w:tcPr>
            <w:tcW w:w="709" w:type="dxa"/>
            <w:tcBorders>
              <w:top w:val="nil"/>
              <w:left w:val="nil"/>
              <w:bottom w:val="single" w:sz="4" w:space="0" w:color="auto"/>
              <w:right w:val="single" w:sz="4" w:space="0" w:color="auto"/>
            </w:tcBorders>
            <w:shd w:val="clear" w:color="000000" w:fill="FFFF00"/>
          </w:tcPr>
          <w:p w14:paraId="48E3FE23" w14:textId="6655A4FC" w:rsidR="00A576B9" w:rsidRPr="00A576B9" w:rsidRDefault="00804630" w:rsidP="00A576B9">
            <w:pPr>
              <w:spacing w:before="0" w:line="240" w:lineRule="auto"/>
              <w:ind w:firstLine="0"/>
              <w:jc w:val="center"/>
              <w:rPr>
                <w:color w:val="000000"/>
                <w:sz w:val="16"/>
                <w:szCs w:val="16"/>
                <w:lang w:val="es-CO" w:eastAsia="es-MX"/>
              </w:rPr>
            </w:pPr>
            <w:r>
              <w:rPr>
                <w:color w:val="000000"/>
                <w:sz w:val="16"/>
                <w:szCs w:val="16"/>
                <w:lang w:val="es-CO" w:eastAsia="es-MX"/>
              </w:rPr>
              <w:t>0.38</w:t>
            </w:r>
            <w:r w:rsidR="00355D8A">
              <w:rPr>
                <w:color w:val="000000"/>
                <w:sz w:val="16"/>
                <w:szCs w:val="16"/>
                <w:lang w:val="es-CO" w:eastAsia="es-MX"/>
              </w:rPr>
              <w:t>0</w:t>
            </w:r>
          </w:p>
        </w:tc>
      </w:tr>
    </w:tbl>
    <w:p w14:paraId="7C8D17D3" w14:textId="26C706F4" w:rsidR="00445317" w:rsidRPr="00445317" w:rsidRDefault="00445317" w:rsidP="00445317">
      <w:pPr>
        <w:spacing w:before="0" w:line="240" w:lineRule="auto"/>
        <w:jc w:val="center"/>
        <w:rPr>
          <w:sz w:val="16"/>
          <w:szCs w:val="16"/>
          <w:lang w:eastAsia="es-ES_tradnl"/>
        </w:rPr>
      </w:pPr>
      <w:bookmarkStart w:id="46" w:name="_Toc134470845"/>
      <w:r w:rsidRPr="00445317">
        <w:rPr>
          <w:sz w:val="16"/>
          <w:szCs w:val="16"/>
          <w:lang w:eastAsia="es-ES_tradnl"/>
        </w:rPr>
        <w:t xml:space="preserve">Tabla </w:t>
      </w:r>
      <w:r w:rsidRPr="00445317">
        <w:rPr>
          <w:sz w:val="16"/>
          <w:szCs w:val="16"/>
          <w:lang w:eastAsia="es-ES_tradnl"/>
        </w:rPr>
        <w:fldChar w:fldCharType="begin"/>
      </w:r>
      <w:r w:rsidRPr="00445317">
        <w:rPr>
          <w:sz w:val="16"/>
          <w:szCs w:val="16"/>
          <w:lang w:eastAsia="es-ES_tradnl"/>
        </w:rPr>
        <w:instrText xml:space="preserve"> SEQ Tabla \* ARABIC </w:instrText>
      </w:r>
      <w:r w:rsidRPr="00445317">
        <w:rPr>
          <w:sz w:val="16"/>
          <w:szCs w:val="16"/>
          <w:lang w:eastAsia="es-ES_tradnl"/>
        </w:rPr>
        <w:fldChar w:fldCharType="separate"/>
      </w:r>
      <w:r w:rsidR="00036BF0">
        <w:rPr>
          <w:noProof/>
          <w:sz w:val="16"/>
          <w:szCs w:val="16"/>
          <w:lang w:eastAsia="es-ES_tradnl"/>
        </w:rPr>
        <w:t>6</w:t>
      </w:r>
      <w:r w:rsidRPr="00445317">
        <w:rPr>
          <w:sz w:val="16"/>
          <w:szCs w:val="16"/>
          <w:lang w:eastAsia="es-ES_tradnl"/>
        </w:rPr>
        <w:fldChar w:fldCharType="end"/>
      </w:r>
      <w:r w:rsidRPr="00445317">
        <w:rPr>
          <w:sz w:val="16"/>
          <w:szCs w:val="16"/>
          <w:lang w:eastAsia="es-ES_tradnl"/>
        </w:rPr>
        <w:t>. Valores nítidos de los riesgos. Fuente: elaboración propia</w:t>
      </w:r>
      <w:bookmarkEnd w:id="46"/>
    </w:p>
    <w:p w14:paraId="18C0FC95" w14:textId="0E21C3AE" w:rsidR="002A2B92" w:rsidRDefault="008F257A" w:rsidP="00A056C1">
      <w:pPr>
        <w:ind w:firstLine="0"/>
        <w:jc w:val="both"/>
        <w:rPr>
          <w:lang w:val="es-CO" w:eastAsia="es-ES"/>
        </w:rPr>
      </w:pPr>
      <w:r>
        <w:rPr>
          <w:lang w:val="es-CO" w:eastAsia="es-ES"/>
        </w:rPr>
        <w:t xml:space="preserve">En la anterior tabla se observa el resultado del módulo de lógica difusa, en donde se </w:t>
      </w:r>
      <w:r w:rsidR="00355D8A">
        <w:rPr>
          <w:lang w:val="es-CO" w:eastAsia="es-ES"/>
        </w:rPr>
        <w:t>evidencia</w:t>
      </w:r>
      <w:r>
        <w:rPr>
          <w:lang w:val="es-CO" w:eastAsia="es-ES"/>
        </w:rPr>
        <w:t xml:space="preserve"> no solamente la clasificación de los riesgos según los cuatro niveles establecidos, sino también </w:t>
      </w:r>
      <w:r w:rsidR="002A2B92">
        <w:rPr>
          <w:lang w:val="es-CO" w:eastAsia="es-ES"/>
        </w:rPr>
        <w:t xml:space="preserve">el </w:t>
      </w:r>
      <w:r w:rsidR="002A2B92" w:rsidRPr="00355D8A">
        <w:rPr>
          <w:i/>
          <w:iCs/>
          <w:lang w:val="es-CO" w:eastAsia="es-ES"/>
        </w:rPr>
        <w:t>score</w:t>
      </w:r>
      <w:r w:rsidR="00355D8A">
        <w:rPr>
          <w:lang w:val="es-CO" w:eastAsia="es-ES"/>
        </w:rPr>
        <w:t xml:space="preserve"> o puntaje</w:t>
      </w:r>
      <w:r w:rsidR="002A2B92">
        <w:rPr>
          <w:lang w:val="es-CO" w:eastAsia="es-ES"/>
        </w:rPr>
        <w:t xml:space="preserve"> que obtuvieron según los respectivos niveles de probabilidad e impacto. A diferencia de lo</w:t>
      </w:r>
      <w:r w:rsidR="00355D8A">
        <w:rPr>
          <w:lang w:val="es-CO" w:eastAsia="es-ES"/>
        </w:rPr>
        <w:t xml:space="preserve">s resultados obtenidos </w:t>
      </w:r>
      <w:r w:rsidR="002A2B92">
        <w:rPr>
          <w:lang w:val="es-CO" w:eastAsia="es-ES"/>
        </w:rPr>
        <w:t xml:space="preserve">en el modelo TOPSIS, bajo el algoritmo de lógica difusa se observó que los riesgos </w:t>
      </w:r>
      <w:r w:rsidR="00355D8A">
        <w:rPr>
          <w:lang w:val="es-CO" w:eastAsia="es-ES"/>
        </w:rPr>
        <w:t>más</w:t>
      </w:r>
      <w:r w:rsidR="002A2B92">
        <w:rPr>
          <w:lang w:val="es-CO" w:eastAsia="es-ES"/>
        </w:rPr>
        <w:t xml:space="preserve"> representativos fueron </w:t>
      </w:r>
      <w:r w:rsidR="00355D8A">
        <w:rPr>
          <w:lang w:val="es-CO" w:eastAsia="es-ES"/>
        </w:rPr>
        <w:t xml:space="preserve">RM2, </w:t>
      </w:r>
      <w:r w:rsidR="002A2B92">
        <w:rPr>
          <w:lang w:val="es-CO" w:eastAsia="es-ES"/>
        </w:rPr>
        <w:t xml:space="preserve">Rreg2, RT1 y RT3. Estos riesgos se categorizan dentro del nivel de riesgo crítico, debido a que no solo tienen un gran impacto negativo, sino que </w:t>
      </w:r>
      <w:r w:rsidR="002A2B92">
        <w:rPr>
          <w:lang w:val="es-CO" w:eastAsia="es-ES"/>
        </w:rPr>
        <w:lastRenderedPageBreak/>
        <w:t>además tienen, según los expertos, una alta probabilidad de ocurrir</w:t>
      </w:r>
      <w:r w:rsidR="00355D8A">
        <w:rPr>
          <w:lang w:val="es-CO" w:eastAsia="es-ES"/>
        </w:rPr>
        <w:t>, como se observa en la siguiente figura.</w:t>
      </w:r>
    </w:p>
    <w:p w14:paraId="2364DF1E" w14:textId="77777777" w:rsidR="00532230" w:rsidRDefault="00532230" w:rsidP="00B24E31">
      <w:pPr>
        <w:ind w:firstLine="0"/>
        <w:rPr>
          <w:lang w:val="es-CO" w:eastAsia="es-ES"/>
        </w:rPr>
      </w:pPr>
    </w:p>
    <w:p w14:paraId="07FA1253" w14:textId="2425F04D" w:rsidR="002A2B92" w:rsidRPr="005215D9" w:rsidRDefault="00804630" w:rsidP="002A2B92">
      <w:pPr>
        <w:spacing w:before="0" w:line="240" w:lineRule="auto"/>
        <w:jc w:val="center"/>
        <w:rPr>
          <w:sz w:val="16"/>
          <w:szCs w:val="16"/>
        </w:rPr>
      </w:pPr>
      <w:r w:rsidRPr="00804630">
        <w:rPr>
          <w:noProof/>
        </w:rPr>
        <w:drawing>
          <wp:inline distT="0" distB="0" distL="0" distR="0" wp14:anchorId="4C2ED55E" wp14:editId="7FA19F5A">
            <wp:extent cx="5972810" cy="2896235"/>
            <wp:effectExtent l="0" t="0" r="0" b="0"/>
            <wp:docPr id="117531010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810" cy="2896235"/>
                    </a:xfrm>
                    <a:prstGeom prst="rect">
                      <a:avLst/>
                    </a:prstGeom>
                    <a:noFill/>
                    <a:ln>
                      <a:noFill/>
                    </a:ln>
                  </pic:spPr>
                </pic:pic>
              </a:graphicData>
            </a:graphic>
          </wp:inline>
        </w:drawing>
      </w:r>
    </w:p>
    <w:p w14:paraId="1EB5D47A" w14:textId="6406D02E" w:rsidR="00445317" w:rsidRPr="00445317" w:rsidRDefault="00445317" w:rsidP="00445317">
      <w:pPr>
        <w:spacing w:before="0" w:line="240" w:lineRule="auto"/>
        <w:jc w:val="center"/>
        <w:rPr>
          <w:sz w:val="16"/>
          <w:szCs w:val="16"/>
        </w:rPr>
      </w:pPr>
      <w:bookmarkStart w:id="47" w:name="_Toc134470863"/>
      <w:r w:rsidRPr="00445317">
        <w:rPr>
          <w:sz w:val="16"/>
          <w:szCs w:val="16"/>
        </w:rPr>
        <w:t xml:space="preserve">Figura </w:t>
      </w:r>
      <w:r w:rsidRPr="00445317">
        <w:rPr>
          <w:sz w:val="16"/>
          <w:szCs w:val="16"/>
        </w:rPr>
        <w:fldChar w:fldCharType="begin"/>
      </w:r>
      <w:r w:rsidRPr="00445317">
        <w:rPr>
          <w:sz w:val="16"/>
          <w:szCs w:val="16"/>
        </w:rPr>
        <w:instrText xml:space="preserve"> SEQ Figura \* ARABIC </w:instrText>
      </w:r>
      <w:r w:rsidRPr="00445317">
        <w:rPr>
          <w:sz w:val="16"/>
          <w:szCs w:val="16"/>
        </w:rPr>
        <w:fldChar w:fldCharType="separate"/>
      </w:r>
      <w:r w:rsidR="00036BF0">
        <w:rPr>
          <w:noProof/>
          <w:sz w:val="16"/>
          <w:szCs w:val="16"/>
        </w:rPr>
        <w:t>3</w:t>
      </w:r>
      <w:r w:rsidRPr="00445317">
        <w:rPr>
          <w:sz w:val="16"/>
          <w:szCs w:val="16"/>
        </w:rPr>
        <w:fldChar w:fldCharType="end"/>
      </w:r>
      <w:r w:rsidRPr="00445317">
        <w:rPr>
          <w:sz w:val="16"/>
          <w:szCs w:val="16"/>
        </w:rPr>
        <w:t>. Matriz de riesgos climáticos de transición Grupo Nutresa. Fuente: elaboración Propia.</w:t>
      </w:r>
      <w:bookmarkEnd w:id="47"/>
    </w:p>
    <w:p w14:paraId="7A7110DF" w14:textId="180D2578" w:rsidR="00D22EDE" w:rsidRDefault="002A2B92" w:rsidP="00A056C1">
      <w:pPr>
        <w:jc w:val="both"/>
        <w:rPr>
          <w:szCs w:val="24"/>
        </w:rPr>
      </w:pPr>
      <w:r w:rsidRPr="00464704">
        <w:rPr>
          <w:szCs w:val="24"/>
        </w:rPr>
        <w:t>En relación con Rreg2 (aumento del impuesto al carbono), el cual pretende reducir las emisiones de GEI que provocan las compañías,</w:t>
      </w:r>
      <w:r w:rsidR="00532230" w:rsidRPr="00464704">
        <w:rPr>
          <w:szCs w:val="24"/>
        </w:rPr>
        <w:t xml:space="preserve"> el impacto negativo se ve relacionado con la disminución del margen operativo, una reducción del precio de las inversiones, y por lo tanto pocas ganancias</w:t>
      </w:r>
      <w:r w:rsidRPr="00464704">
        <w:rPr>
          <w:szCs w:val="24"/>
        </w:rPr>
        <w:t xml:space="preserve"> </w:t>
      </w:r>
      <w:r w:rsidR="00532230" w:rsidRPr="00464704">
        <w:rPr>
          <w:szCs w:val="24"/>
        </w:rPr>
        <w:fldChar w:fldCharType="begin" w:fldLock="1"/>
      </w:r>
      <w:r w:rsidR="00532230" w:rsidRPr="00464704">
        <w:rPr>
          <w:szCs w:val="24"/>
        </w:rPr>
        <w:instrText>ADDIN CSL_CITATION {"citationItems":[{"id":"ITEM-1","itemData":{"DOI":"10.1038/s41558-018-0175-0","author":[{"dropping-particle":"","family":"Emanuele","given":"Campiglio","non-dropping-particle":"","parse-names":false,"suffix":""},{"dropping-particle":"","family":"Yannis","given":"Dafermos","non-dropping-particle":"","parse-names":false,"suffix":""},{"dropping-particle":"","family":"Pierre","given":"Monnin","non-dropping-particle":"","parse-names":false,"suffix":""},{"dropping-particle":"","family":"Guido","given":"Schotten","non-dropping-particle":"","parse-names":false,"suffix":""},{"dropping-particle":"","family":"Misa","given":"Tanak","non-dropping-particle":"","parse-names":false,"suffix":""}],"id":"ITEM-1","issued":{"date-parts":[["2019"]]},"title":"Climate change challenges for central banks and financial regulators. Nature Climate Change","type":"webpage"},"uris":["http://www.mendeley.com/documents/?uuid=596abc22-1760-350d-9a56-94512fc2dcef"]}],"mendeley":{"formattedCitation":"(Emanuele, Yannis, Pierre, Guido, &amp; Misa, 2019)","plainTextFormattedCitation":"(Emanuele, Yannis, Pierre, Guido, &amp; Misa, 2019)","previouslyFormattedCitation":"(Emanuele, Yannis, Pierre, Guido, &amp; Misa, 2019)"},"properties":{"noteIndex":0},"schema":"https://github.com/citation-style-language/schema/raw/master/csl-citation.json"}</w:instrText>
      </w:r>
      <w:r w:rsidR="00532230" w:rsidRPr="00464704">
        <w:rPr>
          <w:szCs w:val="24"/>
        </w:rPr>
        <w:fldChar w:fldCharType="separate"/>
      </w:r>
      <w:r w:rsidR="00532230" w:rsidRPr="00464704">
        <w:rPr>
          <w:noProof/>
          <w:szCs w:val="24"/>
        </w:rPr>
        <w:t>(Emanuele, Yannis, Pierre, Guido, &amp; Misa, 2019)</w:t>
      </w:r>
      <w:r w:rsidR="00532230" w:rsidRPr="00464704">
        <w:rPr>
          <w:szCs w:val="24"/>
        </w:rPr>
        <w:fldChar w:fldCharType="end"/>
      </w:r>
      <w:r w:rsidR="00532230" w:rsidRPr="00464704">
        <w:rPr>
          <w:szCs w:val="24"/>
        </w:rPr>
        <w:t>. Además, debido a pagos adicionales derivados de este impuesto, las empresas podrían tener mayores costos por incumplimiento, un valor elevado de los seguros, y además la calidad crediticia podría verse también afectada.</w:t>
      </w:r>
    </w:p>
    <w:p w14:paraId="6B30C49A" w14:textId="25C027D3" w:rsidR="00CF66D1" w:rsidRPr="00CF66D1" w:rsidRDefault="00CF66D1" w:rsidP="00A056C1">
      <w:pPr>
        <w:jc w:val="both"/>
        <w:rPr>
          <w:szCs w:val="24"/>
          <w:lang w:val="es-CO" w:eastAsia="es-ES"/>
        </w:rPr>
      </w:pPr>
      <w:r w:rsidRPr="00464704">
        <w:rPr>
          <w:szCs w:val="24"/>
          <w:lang w:val="es-CO" w:eastAsia="es-ES"/>
        </w:rPr>
        <w:t>El riesgo de los cambios en los precios y volatilidad de la materia prima (RM2) fue seleccionado por los expertos, no s</w:t>
      </w:r>
      <w:r w:rsidR="00900D7E">
        <w:rPr>
          <w:szCs w:val="24"/>
          <w:lang w:val="es-CO" w:eastAsia="es-ES"/>
        </w:rPr>
        <w:t>ó</w:t>
      </w:r>
      <w:r w:rsidRPr="00464704">
        <w:rPr>
          <w:szCs w:val="24"/>
          <w:lang w:val="es-CO" w:eastAsia="es-ES"/>
        </w:rPr>
        <w:t xml:space="preserve">lo como el más probable, sino además como el de mayor impacto. Dichas variaciones en los precios no solo se traducen lógicamente en un menor margen operativo, sino que </w:t>
      </w:r>
      <w:r w:rsidRPr="00464704">
        <w:rPr>
          <w:szCs w:val="24"/>
          <w:lang w:val="es-CO" w:eastAsia="es-ES"/>
        </w:rPr>
        <w:lastRenderedPageBreak/>
        <w:t xml:space="preserve">además generan incertidumbre y dificultad para predecir costos y adaptar los precios a las exigencias del mercado, lo cual genera dificultades para desarrollar un plan de provisionamiento de materias primas estable y rentable </w:t>
      </w:r>
      <w:r w:rsidRPr="00464704">
        <w:rPr>
          <w:szCs w:val="24"/>
          <w:lang w:val="es-CO" w:eastAsia="es-ES"/>
        </w:rPr>
        <w:fldChar w:fldCharType="begin" w:fldLock="1"/>
      </w:r>
      <w:r w:rsidRPr="00464704">
        <w:rPr>
          <w:szCs w:val="24"/>
          <w:lang w:val="es-CO" w:eastAsia="es-ES"/>
        </w:rPr>
        <w:instrText>ADDIN CSL_CITATION {"citationItems":[{"id":"ITEM-1","itemData":{"DOI":"10.1002/bse.2651","author":[{"dropping-particle":"","family":"Samira","given":"Demaria","non-dropping-particle":"","parse-names":false,"suffix":""},{"dropping-particle":"","family":"Sandra","given":"Rigot","non-dropping-particle":"","parse-names":false,"suffix":""}],"id":"ITEM-1","issued":{"date-parts":[["2020"]]},"title":"Corporate environmental reporting: Are French firms compliant with the Task Force on Climate Financial Disclosures’ recommendations? Business Strategy and the Environment","type":"webpage"},"uris":["http://www.mendeley.com/documents/?uuid=8cf7d83a-269c-3265-ab3a-dbc6bff09908"]}],"mendeley":{"formattedCitation":"(Samira &amp; Sandra, 2020)","plainTextFormattedCitation":"(Samira &amp; Sandra, 2020)","previouslyFormattedCitation":"(Samira &amp; Sandra, 2020)"},"properties":{"noteIndex":0},"schema":"https://github.com/citation-style-language/schema/raw/master/csl-citation.json"}</w:instrText>
      </w:r>
      <w:r w:rsidRPr="00464704">
        <w:rPr>
          <w:szCs w:val="24"/>
          <w:lang w:val="es-CO" w:eastAsia="es-ES"/>
        </w:rPr>
        <w:fldChar w:fldCharType="separate"/>
      </w:r>
      <w:r w:rsidRPr="00464704">
        <w:rPr>
          <w:noProof/>
          <w:szCs w:val="24"/>
          <w:lang w:val="es-CO" w:eastAsia="es-ES"/>
        </w:rPr>
        <w:t>(Samira &amp; Sandra, 2020)</w:t>
      </w:r>
      <w:r w:rsidRPr="00464704">
        <w:rPr>
          <w:szCs w:val="24"/>
          <w:lang w:val="es-CO" w:eastAsia="es-ES"/>
        </w:rPr>
        <w:fldChar w:fldCharType="end"/>
      </w:r>
      <w:r w:rsidRPr="00464704">
        <w:rPr>
          <w:szCs w:val="24"/>
          <w:lang w:val="es-CO" w:eastAsia="es-ES"/>
        </w:rPr>
        <w:t>.</w:t>
      </w:r>
    </w:p>
    <w:p w14:paraId="566E2CFA" w14:textId="2E9F43A4" w:rsidR="00532230" w:rsidRPr="00464704" w:rsidRDefault="008546E9" w:rsidP="00A056C1">
      <w:pPr>
        <w:jc w:val="both"/>
        <w:rPr>
          <w:szCs w:val="24"/>
          <w:lang w:val="es-CO" w:eastAsia="es-ES"/>
        </w:rPr>
      </w:pPr>
      <w:r w:rsidRPr="00464704">
        <w:rPr>
          <w:szCs w:val="24"/>
          <w:lang w:val="es-CO" w:eastAsia="es-ES"/>
        </w:rPr>
        <w:t xml:space="preserve">En cuanto a los riesgos RT1, RT2 y RT3, los cambios tecnológicos que suceden de manera muy rápida pueden llegar a generar impactos negativos en las empresas, sin importar las regulaciones climáticas que haya en el momento. El impacto negativo se ve claramente en el valor de los activos de la empresa, ya que estos se pueden volver obsoletos de manera rápida </w:t>
      </w:r>
      <w:r w:rsidRPr="00464704">
        <w:rPr>
          <w:szCs w:val="24"/>
          <w:lang w:val="es-CO" w:eastAsia="es-ES"/>
        </w:rPr>
        <w:fldChar w:fldCharType="begin" w:fldLock="1"/>
      </w:r>
      <w:r w:rsidR="003C713A" w:rsidRPr="00464704">
        <w:rPr>
          <w:szCs w:val="24"/>
          <w:lang w:val="es-CO" w:eastAsia="es-ES"/>
        </w:rPr>
        <w:instrText>ADDIN CSL_CITATION {"citationItems":[{"id":"ITEM-1","itemData":{"DOI":"10.1038/s41558-018-0175-0","author":[{"dropping-particle":"","family":"Emanuele","given":"Campiglio","non-dropping-particle":"","parse-names":false,"suffix":""},{"dropping-particle":"","family":"Yannis","given":"Dafermos","non-dropping-particle":"","parse-names":false,"suffix":""},{"dropping-particle":"","family":"Pierre","given":"Monnin","non-dropping-particle":"","parse-names":false,"suffix":""},{"dropping-particle":"","family":"Guido","given":"Schotten","non-dropping-particle":"","parse-names":false,"suffix":""},{"dropping-particle":"","family":"Misa","given":"Tanak","non-dropping-particle":"","parse-names":false,"suffix":""}],"id":"ITEM-1","issued":{"date-parts":[["2019"]]},"title":"Climate change challenges for central banks and financial regulators. Nature Climate Change","type":"webpage"},"uris":["http://www.mendeley.com/documents/?uuid=596abc22-1760-350d-9a56-94512fc2dcef"]}],"mendeley":{"formattedCitation":"(Emanuele et al., 2019)","plainTextFormattedCitation":"(Emanuele et al., 2019)","previouslyFormattedCitation":"(Emanuele et al., 2019)"},"properties":{"noteIndex":0},"schema":"https://github.com/citation-style-language/schema/raw/master/csl-citation.json"}</w:instrText>
      </w:r>
      <w:r w:rsidRPr="00464704">
        <w:rPr>
          <w:szCs w:val="24"/>
          <w:lang w:val="es-CO" w:eastAsia="es-ES"/>
        </w:rPr>
        <w:fldChar w:fldCharType="separate"/>
      </w:r>
      <w:r w:rsidRPr="00464704">
        <w:rPr>
          <w:noProof/>
          <w:szCs w:val="24"/>
          <w:lang w:val="es-CO" w:eastAsia="es-ES"/>
        </w:rPr>
        <w:t>(Emanuele et al., 2019)</w:t>
      </w:r>
      <w:r w:rsidRPr="00464704">
        <w:rPr>
          <w:szCs w:val="24"/>
          <w:lang w:val="es-CO" w:eastAsia="es-ES"/>
        </w:rPr>
        <w:fldChar w:fldCharType="end"/>
      </w:r>
      <w:r w:rsidRPr="00464704">
        <w:rPr>
          <w:szCs w:val="24"/>
          <w:lang w:val="es-CO" w:eastAsia="es-ES"/>
        </w:rPr>
        <w:t>. De igual forma, dependiendo del sector específico de la compañía, este riesgo</w:t>
      </w:r>
      <w:r w:rsidR="00CF66D1">
        <w:rPr>
          <w:szCs w:val="24"/>
          <w:lang w:val="es-CO" w:eastAsia="es-ES"/>
        </w:rPr>
        <w:t xml:space="preserve"> podría llegar a</w:t>
      </w:r>
      <w:r w:rsidRPr="00464704">
        <w:rPr>
          <w:szCs w:val="24"/>
          <w:lang w:val="es-CO" w:eastAsia="es-ES"/>
        </w:rPr>
        <w:t xml:space="preserve"> ser </w:t>
      </w:r>
      <w:r w:rsidR="00CF66D1" w:rsidRPr="00464704">
        <w:rPr>
          <w:szCs w:val="24"/>
          <w:lang w:val="es-CO" w:eastAsia="es-ES"/>
        </w:rPr>
        <w:t>aún</w:t>
      </w:r>
      <w:r w:rsidRPr="00464704">
        <w:rPr>
          <w:szCs w:val="24"/>
          <w:lang w:val="es-CO" w:eastAsia="es-ES"/>
        </w:rPr>
        <w:t xml:space="preserve"> mayor, si el cambio tecnológico está directamente relacionado con la razón social de la empresa, dejando como consecuencia la desestabilización financiera de la </w:t>
      </w:r>
      <w:r w:rsidR="00CF66D1">
        <w:rPr>
          <w:szCs w:val="24"/>
          <w:lang w:val="es-CO" w:eastAsia="es-ES"/>
        </w:rPr>
        <w:t>organización</w:t>
      </w:r>
      <w:r w:rsidRPr="00464704">
        <w:rPr>
          <w:szCs w:val="24"/>
          <w:lang w:val="es-CO" w:eastAsia="es-ES"/>
        </w:rPr>
        <w:t>.</w:t>
      </w:r>
    </w:p>
    <w:p w14:paraId="3B27323D" w14:textId="0CD6DEB5" w:rsidR="003C713A" w:rsidRPr="00464704" w:rsidRDefault="003C713A" w:rsidP="00A056C1">
      <w:pPr>
        <w:jc w:val="both"/>
        <w:rPr>
          <w:szCs w:val="24"/>
          <w:lang w:val="es-CO" w:eastAsia="es-ES"/>
        </w:rPr>
      </w:pPr>
      <w:r w:rsidRPr="00464704">
        <w:rPr>
          <w:szCs w:val="24"/>
          <w:lang w:val="es-CO" w:eastAsia="es-ES"/>
        </w:rPr>
        <w:t xml:space="preserve">Además, es importante considerar el costo de la transición tecnológica que deben llevar a cabo las empresas para no quedar rezagadas (RT2), incluso si una empresa está bien preparada para afrontar los cambios tecnológicos, estos son impredecibles y pueden llegar a generar altos costos en la adaptación </w:t>
      </w:r>
      <w:r w:rsidRPr="00464704">
        <w:rPr>
          <w:szCs w:val="24"/>
          <w:lang w:val="es-CO" w:eastAsia="es-ES"/>
        </w:rPr>
        <w:fldChar w:fldCharType="begin" w:fldLock="1"/>
      </w:r>
      <w:r w:rsidR="00665DD6" w:rsidRPr="00464704">
        <w:rPr>
          <w:szCs w:val="24"/>
          <w:lang w:val="es-CO" w:eastAsia="es-ES"/>
        </w:rPr>
        <w:instrText>ADDIN CSL_CITATION {"citationItems":[{"id":"ITEM-1","itemData":{"DOI":"10.1016/j.ecolecon.2019.05.012","ISSN":"0921-8009","author":[{"dropping-particle":"","family":"Monasterolo","given":"Irene","non-dropping-particle":"","parse-names":false,"suffix":""},{"dropping-particle":"","family":"Roventini","given":"Andrea","non-dropping-particle":"","parse-names":false,"suffix":""},{"dropping-particle":"","family":"Foxon","given":"Tim J","non-dropping-particle":"","parse-names":false,"suffix":""}],"container-title":"Ecological Economics","id":"ITEM-1","issue":"June","issued":{"date-parts":[["2019"]]},"page":"177-182","publisher":"Elsevier","title":"Uncertainty of climate policies and implications for economics and finance : An evolutionary economics approach","type":"article-journal","volume":"163"},"uris":["http://www.mendeley.com/documents/?uuid=f81a66d5-3970-4acd-b212-c59ff7ab7ebe"]}],"mendeley":{"formattedCitation":"(Monasterolo et al., 2019)","plainTextFormattedCitation":"(Monasterolo et al., 2019)","previouslyFormattedCitation":"(Monasterolo et al., 2019)"},"properties":{"noteIndex":0},"schema":"https://github.com/citation-style-language/schema/raw/master/csl-citation.json"}</w:instrText>
      </w:r>
      <w:r w:rsidRPr="00464704">
        <w:rPr>
          <w:szCs w:val="24"/>
          <w:lang w:val="es-CO" w:eastAsia="es-ES"/>
        </w:rPr>
        <w:fldChar w:fldCharType="separate"/>
      </w:r>
      <w:r w:rsidRPr="00464704">
        <w:rPr>
          <w:noProof/>
          <w:szCs w:val="24"/>
          <w:lang w:val="es-CO" w:eastAsia="es-ES"/>
        </w:rPr>
        <w:t>(Monasterolo et al., 2019)</w:t>
      </w:r>
      <w:r w:rsidRPr="00464704">
        <w:rPr>
          <w:szCs w:val="24"/>
          <w:lang w:val="es-CO" w:eastAsia="es-ES"/>
        </w:rPr>
        <w:fldChar w:fldCharType="end"/>
      </w:r>
      <w:r w:rsidRPr="00464704">
        <w:rPr>
          <w:szCs w:val="24"/>
          <w:lang w:val="es-CO" w:eastAsia="es-ES"/>
        </w:rPr>
        <w:t>.</w:t>
      </w:r>
    </w:p>
    <w:p w14:paraId="7EFB757E" w14:textId="0D30911F" w:rsidR="003C713A" w:rsidRPr="00464704" w:rsidRDefault="003C713A" w:rsidP="00A056C1">
      <w:pPr>
        <w:jc w:val="both"/>
        <w:rPr>
          <w:szCs w:val="24"/>
          <w:lang w:val="es-CO" w:eastAsia="es-ES"/>
        </w:rPr>
      </w:pPr>
      <w:r w:rsidRPr="00464704">
        <w:rPr>
          <w:szCs w:val="24"/>
          <w:lang w:val="es-CO" w:eastAsia="es-ES"/>
        </w:rPr>
        <w:t xml:space="preserve">Se presenta un reto aun </w:t>
      </w:r>
      <w:r w:rsidR="00CF66D1">
        <w:rPr>
          <w:szCs w:val="24"/>
          <w:lang w:val="es-CO" w:eastAsia="es-ES"/>
        </w:rPr>
        <w:t>mayor</w:t>
      </w:r>
      <w:r w:rsidR="00665DD6" w:rsidRPr="00464704">
        <w:rPr>
          <w:szCs w:val="24"/>
          <w:lang w:val="es-CO" w:eastAsia="es-ES"/>
        </w:rPr>
        <w:t xml:space="preserve"> para aquellas empresas que tienen cierta dependencia en las energías intensivas en carbono, ya que la tendencia se da cada vez mas hacia las menos intensivas, estas empresas podrían dejar de ser competitivas si no se adaptan al cambio </w:t>
      </w:r>
      <w:r w:rsidR="00665DD6" w:rsidRPr="00464704">
        <w:rPr>
          <w:szCs w:val="24"/>
          <w:lang w:val="es-CO" w:eastAsia="es-ES"/>
        </w:rPr>
        <w:fldChar w:fldCharType="begin" w:fldLock="1"/>
      </w:r>
      <w:r w:rsidR="00BB5F03" w:rsidRPr="00464704">
        <w:rPr>
          <w:szCs w:val="24"/>
          <w:lang w:val="es-CO" w:eastAsia="es-ES"/>
        </w:rPr>
        <w:instrText>ADDIN CSL_CITATION {"citationItems":[{"id":"ITEM-1","itemData":{"DOI":"10.1002/bse.2651","author":[{"dropping-particle":"","family":"Samira","given":"Demaria","non-dropping-particle":"","parse-names":false,"suffix":""},{"dropping-particle":"","family":"Sandra","given":"Rigot","non-dropping-particle":"","parse-names":false,"suffix":""}],"id":"ITEM-1","issued":{"date-parts":[["2020"]]},"title":"Corporate environmental reporting: Are French firms compliant with the Task Force on Climate Financial Disclosures’ recommendations? Business Strategy and the Environment","type":"webpage"},"uris":["http://www.mendeley.com/documents/?uuid=8cf7d83a-269c-3265-ab3a-dbc6bff09908"]}],"mendeley":{"formattedCitation":"(Samira &amp; Sandra, 2020)","plainTextFormattedCitation":"(Samira &amp; Sandra, 2020)","previouslyFormattedCitation":"(Samira &amp; Sandra, 2020)"},"properties":{"noteIndex":0},"schema":"https://github.com/citation-style-language/schema/raw/master/csl-citation.json"}</w:instrText>
      </w:r>
      <w:r w:rsidR="00665DD6" w:rsidRPr="00464704">
        <w:rPr>
          <w:szCs w:val="24"/>
          <w:lang w:val="es-CO" w:eastAsia="es-ES"/>
        </w:rPr>
        <w:fldChar w:fldCharType="separate"/>
      </w:r>
      <w:r w:rsidR="00665DD6" w:rsidRPr="00464704">
        <w:rPr>
          <w:noProof/>
          <w:szCs w:val="24"/>
          <w:lang w:val="es-CO" w:eastAsia="es-ES"/>
        </w:rPr>
        <w:t>(Samira &amp; Sandra, 2020)</w:t>
      </w:r>
      <w:r w:rsidR="00665DD6" w:rsidRPr="00464704">
        <w:rPr>
          <w:szCs w:val="24"/>
          <w:lang w:val="es-CO" w:eastAsia="es-ES"/>
        </w:rPr>
        <w:fldChar w:fldCharType="end"/>
      </w:r>
      <w:r w:rsidR="00665DD6" w:rsidRPr="00464704">
        <w:rPr>
          <w:szCs w:val="24"/>
          <w:lang w:val="es-CO" w:eastAsia="es-ES"/>
        </w:rPr>
        <w:t xml:space="preserve">. </w:t>
      </w:r>
    </w:p>
    <w:p w14:paraId="6CEB52CD" w14:textId="0708DC85" w:rsidR="00665DD6" w:rsidRPr="00464704" w:rsidRDefault="00665DD6" w:rsidP="00A056C1">
      <w:pPr>
        <w:jc w:val="both"/>
        <w:rPr>
          <w:szCs w:val="24"/>
          <w:lang w:val="es-CO" w:eastAsia="es-ES"/>
        </w:rPr>
      </w:pPr>
      <w:r w:rsidRPr="00464704">
        <w:rPr>
          <w:szCs w:val="24"/>
          <w:lang w:val="es-CO" w:eastAsia="es-ES"/>
        </w:rPr>
        <w:t xml:space="preserve">En general, los tipos de riesgo cuyo nivel de urgencia fue mayor fueron los tecnológicos. Se puede observar en la matriz de riesgos que todos los riesgos tecnológicos seleccionados tienen un </w:t>
      </w:r>
      <w:r w:rsidRPr="00464704">
        <w:rPr>
          <w:szCs w:val="24"/>
          <w:lang w:val="es-CO" w:eastAsia="es-ES"/>
        </w:rPr>
        <w:lastRenderedPageBreak/>
        <w:t xml:space="preserve">impacto alto, con distintas variaciones de probabilidad. Esto es consecuente a la </w:t>
      </w:r>
      <w:r w:rsidR="00CF66D1">
        <w:rPr>
          <w:szCs w:val="24"/>
          <w:lang w:val="es-CO" w:eastAsia="es-ES"/>
        </w:rPr>
        <w:t>alta</w:t>
      </w:r>
      <w:r w:rsidRPr="00464704">
        <w:rPr>
          <w:szCs w:val="24"/>
          <w:lang w:val="es-CO" w:eastAsia="es-ES"/>
        </w:rPr>
        <w:t xml:space="preserve"> velocidad con la que se están dando los avances tecnológicos en temas relacionado a lo ambiental y climático.</w:t>
      </w:r>
    </w:p>
    <w:p w14:paraId="74F7A37F" w14:textId="02997CF1" w:rsidR="00BB5F03" w:rsidRPr="00464704" w:rsidRDefault="00BB5F03" w:rsidP="00A056C1">
      <w:pPr>
        <w:jc w:val="both"/>
        <w:rPr>
          <w:szCs w:val="24"/>
          <w:lang w:val="es-CO" w:eastAsia="es-ES"/>
        </w:rPr>
      </w:pPr>
      <w:r w:rsidRPr="00464704">
        <w:rPr>
          <w:szCs w:val="24"/>
          <w:lang w:val="es-CO" w:eastAsia="es-ES"/>
        </w:rPr>
        <w:t xml:space="preserve">En </w:t>
      </w:r>
      <w:r w:rsidR="00CF66D1">
        <w:rPr>
          <w:szCs w:val="24"/>
          <w:lang w:val="es-CO" w:eastAsia="es-ES"/>
        </w:rPr>
        <w:t>la sección</w:t>
      </w:r>
      <w:r w:rsidRPr="00464704">
        <w:rPr>
          <w:szCs w:val="24"/>
          <w:lang w:val="es-CO" w:eastAsia="es-ES"/>
        </w:rPr>
        <w:t xml:space="preserve"> de la matriz de los riesgos altos, además de encontrar el riesgo T2, se encuentran los riesgos Rreg1, Rreg4 y RM3. Los riesgos relacionados con las regulaciones, si bien se encuentran </w:t>
      </w:r>
      <w:r w:rsidR="00BB3E7D" w:rsidRPr="00464704">
        <w:rPr>
          <w:szCs w:val="24"/>
          <w:lang w:val="es-CO" w:eastAsia="es-ES"/>
        </w:rPr>
        <w:t>catalogados como altos, tienen un impacto entre medio alto y alto. A pesar de tener menos probabilidades que, por ejemplo, los riesgos tecnológicos, es posible que dichas probabilidades aumenten en el largo plazo, con lo cual podrían convertirse en riesgos críticos para las compañías.</w:t>
      </w:r>
    </w:p>
    <w:p w14:paraId="4F4001FF" w14:textId="66309161" w:rsidR="00BB3E7D" w:rsidRPr="00464704" w:rsidRDefault="00BB3E7D" w:rsidP="00A056C1">
      <w:pPr>
        <w:jc w:val="both"/>
        <w:rPr>
          <w:szCs w:val="24"/>
          <w:lang w:val="es-CO" w:eastAsia="es-ES"/>
        </w:rPr>
      </w:pPr>
      <w:r w:rsidRPr="00464704">
        <w:rPr>
          <w:szCs w:val="24"/>
          <w:lang w:val="es-CO" w:eastAsia="es-ES"/>
        </w:rPr>
        <w:t>Es importante aclarar que los riesgos regulatorios, tienen una fuerte dependencia con respecto a la zona geográfica donde se encuentren las empresas. Por ejemplo, en Colombia, en el año 2022, se emitió la Circular Externa 031, que regula la divulgación de información sobre asuntos sociales, ambientales y climáticos bajo una perspectiva de materialidad financiera.</w:t>
      </w:r>
    </w:p>
    <w:p w14:paraId="4DC93F92" w14:textId="07AC075D" w:rsidR="00BB3E7D" w:rsidRDefault="00BB3E7D" w:rsidP="00A056C1">
      <w:pPr>
        <w:jc w:val="both"/>
        <w:rPr>
          <w:sz w:val="28"/>
          <w:szCs w:val="22"/>
          <w:lang w:val="es-CO" w:eastAsia="es-ES"/>
        </w:rPr>
      </w:pPr>
      <w:r w:rsidRPr="00464704">
        <w:rPr>
          <w:szCs w:val="24"/>
          <w:lang w:val="es-CO" w:eastAsia="es-ES"/>
        </w:rPr>
        <w:t xml:space="preserve">A pesar de que los riesgos en la zona baja de la matriz, los cuales tienen unos impactos considerables, pero bajas probabilidades de ocurrencia se encuentran catalogados como riesgos de nivel medio, </w:t>
      </w:r>
      <w:r w:rsidR="00D71CCA">
        <w:rPr>
          <w:szCs w:val="24"/>
          <w:lang w:val="es-CO" w:eastAsia="es-ES"/>
        </w:rPr>
        <w:t xml:space="preserve">podrían incrementar sus probabilidades de ocurrencia debido a los cada vez más demandantes requerimientos regulatorios, y al mal desempeño en general de la industria para combatir esta problemática </w:t>
      </w:r>
      <w:r w:rsidR="00D71CCA">
        <w:rPr>
          <w:szCs w:val="24"/>
          <w:lang w:val="es-CO" w:eastAsia="es-ES"/>
        </w:rPr>
        <w:fldChar w:fldCharType="begin" w:fldLock="1"/>
      </w:r>
      <w:r w:rsidR="00837846">
        <w:rPr>
          <w:szCs w:val="24"/>
          <w:lang w:val="es-CO" w:eastAsia="es-ES"/>
        </w:rPr>
        <w:instrText>ADDIN CSL_CITATION {"citationItems":[{"id":"ITEM-1","itemData":{"DOI":"10.1016/j.jclepro.2014.09.086","ISSN":"0959-6526","author":[{"dropping-particle":"","family":"Nikolaou","given":"I","non-dropping-particle":"","parse-names":false,"suffix":""},{"dropping-particle":"","family":"Evangelinos","given":"K","non-dropping-particle":"","parse-names":false,"suffix":""},{"dropping-particle":"","family":"Filho","given":"W Leal","non-dropping-particle":"","parse-names":false,"suffix":""}],"container-title":"Journal of Cleaner Production","id":"ITEM-1","issued":{"date-parts":[["2015"]]},"page":"499-506","publisher":"Elsevier Ltd","title":"A system dynamic approach for exploring the effects of climate change risks on fi rms ' economic performance","type":"article-journal","volume":"103"},"uris":["http://www.mendeley.com/documents/?uuid=bfc2a57f-cc27-4a78-9268-88458a33f7a4"]}],"mendeley":{"formattedCitation":"(Nikolaou et al., 2015)","plainTextFormattedCitation":"(Nikolaou et al., 2015)","previouslyFormattedCitation":"(Nikolaou et al., 2015)"},"properties":{"noteIndex":0},"schema":"https://github.com/citation-style-language/schema/raw/master/csl-citation.json"}</w:instrText>
      </w:r>
      <w:r w:rsidR="00D71CCA">
        <w:rPr>
          <w:szCs w:val="24"/>
          <w:lang w:val="es-CO" w:eastAsia="es-ES"/>
        </w:rPr>
        <w:fldChar w:fldCharType="separate"/>
      </w:r>
      <w:r w:rsidR="00D71CCA" w:rsidRPr="00D71CCA">
        <w:rPr>
          <w:noProof/>
          <w:szCs w:val="24"/>
          <w:lang w:val="es-CO" w:eastAsia="es-ES"/>
        </w:rPr>
        <w:t>(Nikolaou et al., 2015)</w:t>
      </w:r>
      <w:r w:rsidR="00D71CCA">
        <w:rPr>
          <w:szCs w:val="24"/>
          <w:lang w:val="es-CO" w:eastAsia="es-ES"/>
        </w:rPr>
        <w:fldChar w:fldCharType="end"/>
      </w:r>
      <w:r w:rsidR="00D71CCA">
        <w:rPr>
          <w:szCs w:val="24"/>
          <w:lang w:val="es-CO" w:eastAsia="es-ES"/>
        </w:rPr>
        <w:t>,</w:t>
      </w:r>
      <w:r w:rsidRPr="00464704">
        <w:rPr>
          <w:szCs w:val="24"/>
          <w:lang w:val="es-CO" w:eastAsia="es-ES"/>
        </w:rPr>
        <w:t xml:space="preserve"> en especial los riesgos reputacionales Rrep1, Rrep2, Rrep3 y Rrep4</w:t>
      </w:r>
      <w:r w:rsidR="00A42690" w:rsidRPr="00464704">
        <w:rPr>
          <w:szCs w:val="24"/>
          <w:lang w:val="es-CO" w:eastAsia="es-ES"/>
        </w:rPr>
        <w:t xml:space="preserve">. Sería importante y recomendable para las empresas tener bajo control y monitoreo dichos riesgos, que a pesar de ser poco probables, de materializarse </w:t>
      </w:r>
      <w:r w:rsidR="00A42690" w:rsidRPr="00CF66D1">
        <w:rPr>
          <w:szCs w:val="24"/>
          <w:lang w:val="es-CO" w:eastAsia="es-ES"/>
        </w:rPr>
        <w:t xml:space="preserve">podrían ser igualmente devastadores </w:t>
      </w:r>
      <w:r w:rsidR="00A42690" w:rsidRPr="00CF66D1">
        <w:rPr>
          <w:szCs w:val="24"/>
          <w:lang w:val="es-CO" w:eastAsia="es-ES"/>
        </w:rPr>
        <w:fldChar w:fldCharType="begin" w:fldLock="1"/>
      </w:r>
      <w:r w:rsidR="00092159" w:rsidRPr="00CF66D1">
        <w:rPr>
          <w:szCs w:val="24"/>
          <w:lang w:val="es-CO" w:eastAsia="es-ES"/>
        </w:rPr>
        <w:instrText>ADDIN CSL_CITATION {"citationItems":[{"id":"ITEM-1","itemData":{"DOI":"10.1038/s41558-018-0175-0","author":[{"dropping-particle":"","family":"Emanuele","given":"Campiglio","non-dropping-particle":"","parse-names":false,"suffix":""},{"dropping-particle":"","family":"Yannis","given":"Dafermos","non-dropping-particle":"","parse-names":false,"suffix":""},{"dropping-particle":"","family":"Pierre","given":"Monnin","non-dropping-particle":"","parse-names":false,"suffix":""},{"dropping-particle":"","family":"Guido","given":"Schotten","non-dropping-particle":"","parse-names":false,"suffix":""},{"dropping-particle":"","family":"Misa","given":"Tanak","non-dropping-particle":"","parse-names":false,"suffix":""}],"id":"ITEM-1","issued":{"date-parts":[["2019"]]},"title":"Climate change challenges for central banks and financial regulators. Nature Climate Change","type":"webpage"},"uris":["http://www.mendeley.com/documents/?uuid=596abc22-1760-350d-9a56-94512fc2dcef"]}],"mendeley":{"formattedCitation":"(Emanuele et al., 2019)","plainTextFormattedCitation":"(Emanuele et al., 2019)","previouslyFormattedCitation":"(Emanuele et al., 2019)"},"properties":{"noteIndex":0},"schema":"https://github.com/citation-style-language/schema/raw/master/csl-citation.json"}</w:instrText>
      </w:r>
      <w:r w:rsidR="00A42690" w:rsidRPr="00CF66D1">
        <w:rPr>
          <w:szCs w:val="24"/>
          <w:lang w:val="es-CO" w:eastAsia="es-ES"/>
        </w:rPr>
        <w:fldChar w:fldCharType="separate"/>
      </w:r>
      <w:r w:rsidR="00A42690" w:rsidRPr="00CF66D1">
        <w:rPr>
          <w:noProof/>
          <w:szCs w:val="24"/>
          <w:lang w:val="es-CO" w:eastAsia="es-ES"/>
        </w:rPr>
        <w:t>(Emanuele et al., 2019)</w:t>
      </w:r>
      <w:r w:rsidR="00A42690" w:rsidRPr="00CF66D1">
        <w:rPr>
          <w:szCs w:val="24"/>
          <w:lang w:val="es-CO" w:eastAsia="es-ES"/>
        </w:rPr>
        <w:fldChar w:fldCharType="end"/>
      </w:r>
      <w:r w:rsidR="00A42690" w:rsidRPr="00CF66D1">
        <w:rPr>
          <w:szCs w:val="24"/>
          <w:lang w:val="es-CO" w:eastAsia="es-ES"/>
        </w:rPr>
        <w:t xml:space="preserve"> . </w:t>
      </w:r>
    </w:p>
    <w:p w14:paraId="07EEABB5" w14:textId="277B08A2" w:rsidR="00A42690" w:rsidRPr="00CF66D1" w:rsidRDefault="00A42690" w:rsidP="00A056C1">
      <w:pPr>
        <w:jc w:val="both"/>
        <w:rPr>
          <w:szCs w:val="24"/>
          <w:lang w:val="es-CO" w:eastAsia="es-ES"/>
        </w:rPr>
      </w:pPr>
      <w:r w:rsidRPr="00CF66D1">
        <w:rPr>
          <w:szCs w:val="24"/>
          <w:lang w:val="es-CO" w:eastAsia="es-ES"/>
        </w:rPr>
        <w:lastRenderedPageBreak/>
        <w:t xml:space="preserve">Es importante resaltar que, con el impacto del cambio climático </w:t>
      </w:r>
      <w:r w:rsidR="00D2140A" w:rsidRPr="00CF66D1">
        <w:rPr>
          <w:szCs w:val="24"/>
          <w:lang w:val="es-CO" w:eastAsia="es-ES"/>
        </w:rPr>
        <w:t>vienen</w:t>
      </w:r>
      <w:r w:rsidRPr="00CF66D1">
        <w:rPr>
          <w:szCs w:val="24"/>
          <w:lang w:val="es-CO" w:eastAsia="es-ES"/>
        </w:rPr>
        <w:t xml:space="preserve"> avances tecnológicos, cambios en las preferencias de los consumidores, y regulaciones, que podrían generar </w:t>
      </w:r>
      <w:r w:rsidR="00D71CCA">
        <w:rPr>
          <w:szCs w:val="24"/>
          <w:lang w:val="es-CO" w:eastAsia="es-ES"/>
        </w:rPr>
        <w:t>pérdidas</w:t>
      </w:r>
      <w:r w:rsidR="00D71CCA" w:rsidRPr="00CF66D1">
        <w:rPr>
          <w:szCs w:val="24"/>
          <w:lang w:val="es-CO" w:eastAsia="es-ES"/>
        </w:rPr>
        <w:t xml:space="preserve"> </w:t>
      </w:r>
      <w:r w:rsidRPr="00CF66D1">
        <w:rPr>
          <w:szCs w:val="24"/>
          <w:lang w:val="es-CO" w:eastAsia="es-ES"/>
        </w:rPr>
        <w:t xml:space="preserve">para las empresas. Pero también podrían generar grandes oportunidades de sobresalir sobre la competencia, si se gestionan dichos riesgos de manera diligente. </w:t>
      </w:r>
    </w:p>
    <w:p w14:paraId="0790218A" w14:textId="3E235876" w:rsidR="001E62C9" w:rsidRDefault="00C72C65" w:rsidP="00221827">
      <w:pPr>
        <w:pStyle w:val="Ttulo1"/>
      </w:pPr>
      <w:bookmarkStart w:id="48" w:name="_Toc149994761"/>
      <w:r>
        <w:lastRenderedPageBreak/>
        <w:t>Conclusiones y consideraciones finales</w:t>
      </w:r>
      <w:bookmarkEnd w:id="48"/>
    </w:p>
    <w:p w14:paraId="67CBD9EC" w14:textId="26E18217" w:rsidR="00D2140A" w:rsidRDefault="008518B0" w:rsidP="00A056C1">
      <w:pPr>
        <w:jc w:val="both"/>
      </w:pPr>
      <w:r>
        <w:t xml:space="preserve">El uso de lógica difusa, junto con otras herramientas de toma de decisiones, como TOPSIS, aporta claridad y nitidez a la hora de realizar un análisis detallado de los riesgos climáticos de transición. La ventaja del uso de lógica difusa frente a otras metodologías convencionales </w:t>
      </w:r>
      <w:r w:rsidR="0065686B">
        <w:t>cualitativas</w:t>
      </w:r>
      <w:r>
        <w:t xml:space="preserve"> es la posibilidad de </w:t>
      </w:r>
      <w:r w:rsidR="0065686B">
        <w:t>tomar</w:t>
      </w:r>
      <w:r>
        <w:t xml:space="preserve"> datos ambiguos y análogos, y convertirlos en datos nítidos y concretos</w:t>
      </w:r>
      <w:r w:rsidR="0065686B">
        <w:t xml:space="preserve"> que permiten tomar decisiones concretas y acertadas con respecto a distintas temáticas, como por ejemplo la gestión del riesgo climático de transición.</w:t>
      </w:r>
    </w:p>
    <w:p w14:paraId="1B68CB78" w14:textId="555AE03F" w:rsidR="0065686B" w:rsidRDefault="0065686B" w:rsidP="00A056C1">
      <w:pPr>
        <w:jc w:val="both"/>
      </w:pPr>
      <w:r>
        <w:t xml:space="preserve">El uso de una metodología adicional como TOPSIS puede dar cuenta de las virtudes y falencias de ambas formas de medición, pero también pueden complementarse de sus virtudes, haciendo que el uso de estas dos metodologías en conjunto sea una aproximación </w:t>
      </w:r>
      <w:r w:rsidR="006A7730">
        <w:t xml:space="preserve">novedosa e </w:t>
      </w:r>
      <w:r>
        <w:t>interesante para realizar análisis y gestiones de riesgos.</w:t>
      </w:r>
    </w:p>
    <w:p w14:paraId="031BBCF4" w14:textId="2F5D8186" w:rsidR="0065686B" w:rsidRDefault="0065686B" w:rsidP="00A056C1">
      <w:pPr>
        <w:jc w:val="both"/>
      </w:pPr>
      <w:r>
        <w:t>En cuanto a los criterios utilizados</w:t>
      </w:r>
      <w:r w:rsidR="00790E7D">
        <w:t xml:space="preserve"> </w:t>
      </w:r>
      <w:r>
        <w:t xml:space="preserve">para la metodología </w:t>
      </w:r>
      <w:r w:rsidR="00B22B8F">
        <w:t>TOPSIS</w:t>
      </w:r>
      <w:r>
        <w:t xml:space="preserve"> </w:t>
      </w:r>
      <w:r w:rsidR="00790E7D">
        <w:t>y</w:t>
      </w:r>
      <w:r>
        <w:t xml:space="preserve"> para </w:t>
      </w:r>
      <w:r w:rsidR="00790E7D">
        <w:t xml:space="preserve">el modelo de lógica difusa, es importante resaltar que la elección de dichos criterios en el caso de los riesgos climáticos de transición determina y condiciona el resultado final del ejercicio. Para el uso de la metodología TOPSIS se optó por el uso de 5 criterios con diferentes pesos, </w:t>
      </w:r>
      <w:r w:rsidR="00406092">
        <w:t>que,</w:t>
      </w:r>
      <w:r w:rsidR="00790E7D">
        <w:t xml:space="preserve"> por lo tanto, dieron pequeñas divergencias con respecto al método de lógica difusa</w:t>
      </w:r>
      <w:r w:rsidR="00406092">
        <w:t>, que únicamente utilizó los criterios de probabilidad e impacto</w:t>
      </w:r>
      <w:r w:rsidR="00790E7D">
        <w:t xml:space="preserve">. En general, </w:t>
      </w:r>
      <w:r w:rsidR="00406092">
        <w:t>el modelo de lógica difusa da mas importancia a la probabilidad que la metodología TOPSIS, esto se debe en parte a que, al usar 5 criterios diferentes, se otorga menos peso a cada variable, ya que este</w:t>
      </w:r>
      <w:r w:rsidR="00B22B8F">
        <w:t xml:space="preserve"> presenta una mayor distribución</w:t>
      </w:r>
      <w:r w:rsidR="00406092">
        <w:t xml:space="preserve">. Con el impacto esta diferencia es más sutil entre ambas metodologías, ya que, en algunos estudios, la exposición, la vulnerabilidad y la resiliencia son todas ellas componentes de la variable impacto, por lo cual existe </w:t>
      </w:r>
      <w:r w:rsidR="00406092">
        <w:lastRenderedPageBreak/>
        <w:t>una correlación entre la variable impacto y estas tres mencionadas. Como resultado de este análisis, se puede concluir que al hacer uso en TOPSIS de criterios como la exposición, la resiliencia y la vulnerabilidad, realmente se esté asignando más peso al impacto.</w:t>
      </w:r>
    </w:p>
    <w:p w14:paraId="130E6B9D" w14:textId="5BEC341C" w:rsidR="00406092" w:rsidRDefault="00406092" w:rsidP="00A056C1">
      <w:pPr>
        <w:jc w:val="both"/>
      </w:pPr>
      <w:r>
        <w:t>Otra conclusión importante de los resultados es el hecho de que, para los expertos, el impacto es una variable considerablemente más importante que la probabilidad</w:t>
      </w:r>
      <w:r w:rsidR="00837846">
        <w:t>, como se mostró en la ponderación de los pesos de los criterios</w:t>
      </w:r>
      <w:r>
        <w:t>. Si se realiza un análisis deductivo, este resultado tiene sentido</w:t>
      </w:r>
      <w:r w:rsidR="00945002">
        <w:t xml:space="preserve">. Un riesgo con un impacto bajo que se materializa frecuentemente es mucho más fácil de gestionar que un riesgo que ocurre de manera </w:t>
      </w:r>
      <w:r w:rsidR="00B22B8F">
        <w:t>poco f</w:t>
      </w:r>
      <w:r w:rsidR="00945002">
        <w:t xml:space="preserve">recuente, pero que tiene un impacto muchísimo mayor. El primero ocurre tan frecuentemente que por lo general las organizaciones ya han tenido la posibilidad de estudiarlo y desarrollar planes de contingencia que lo mitiguen de manera efectiva, reduciendo el riesgo a su mínima expresión. Un riesgo infrecuente de alto impacto, por otro lado, es muy difícil de gestionar, por el hecho de que es mas impredecible, las empresas por lo general no tienen experiencia enfrentando estos riesgos porque ocurren una vez cada mucho tiempo, o incluso es posible que las empresas nunca hayan tenido que lidiar con un riesgo tal. Por lo tanto, desarrollar planes de acción para riesgos de este estilo es mucho </w:t>
      </w:r>
      <w:r w:rsidR="00837846">
        <w:t>más</w:t>
      </w:r>
      <w:r w:rsidR="00945002">
        <w:t xml:space="preserve"> </w:t>
      </w:r>
      <w:r w:rsidR="006A7730">
        <w:t>retador</w:t>
      </w:r>
      <w:r w:rsidR="00945002">
        <w:t xml:space="preserve">, y puede generar </w:t>
      </w:r>
      <w:r w:rsidR="00837846">
        <w:t>más</w:t>
      </w:r>
      <w:r w:rsidR="00945002">
        <w:t xml:space="preserve"> </w:t>
      </w:r>
      <w:r w:rsidR="00837846">
        <w:t xml:space="preserve">pérdidas </w:t>
      </w:r>
      <w:r w:rsidR="00945002">
        <w:t>en términos generales. Además, por la naturaleza de estos riesgos, son más difíciles de detectar, muchas veces solo se detectan una vez se materializan, y para estas alturas ya es demasiado tarde para que las compañías tomen acciones</w:t>
      </w:r>
      <w:r w:rsidR="00837846">
        <w:t xml:space="preserve"> preventivas</w:t>
      </w:r>
      <w:r w:rsidR="00945002">
        <w:t xml:space="preserve"> a respecto</w:t>
      </w:r>
      <w:r w:rsidR="00092159">
        <w:t>.</w:t>
      </w:r>
    </w:p>
    <w:p w14:paraId="3ADA442C" w14:textId="5156B8FA" w:rsidR="00E817C9" w:rsidRDefault="00E817C9" w:rsidP="00A056C1">
      <w:pPr>
        <w:jc w:val="both"/>
      </w:pPr>
      <w:r>
        <w:t xml:space="preserve">Con respecto a los riesgos específicos que se analizaron, se puede concluir que existe una preponderancia en los riesgos tecnológicos, seguidos por los riesgos regulatorios y los de mercado. En general, todos los riesgos investigados, dieron como resultado un impacto entre medio alto y </w:t>
      </w:r>
      <w:r>
        <w:lastRenderedPageBreak/>
        <w:t>alto. Las variaciones entre los riesgos se perciben en sus probabilidades de ocurrencia. Los tecnológicos se distinguen por encima de los demás, porque tienen un gran componente de impacto como de probabilidad. Los riesgos (RT1, RT2, RT3) tienen una considerable probabilidad de ocurrir, pero además son todos de alto impacto, lo cual hace que en conjunto sean más críticos.</w:t>
      </w:r>
    </w:p>
    <w:p w14:paraId="208EDDCF" w14:textId="0FA9F5C2" w:rsidR="00E817C9" w:rsidRDefault="00E817C9" w:rsidP="00A056C1">
      <w:pPr>
        <w:jc w:val="both"/>
      </w:pPr>
      <w:r>
        <w:t xml:space="preserve">Los riesgos de mercado y regulatorios completan </w:t>
      </w:r>
      <w:r w:rsidR="00B22B8F">
        <w:t>las primeras posiciones</w:t>
      </w:r>
      <w:r>
        <w:t xml:space="preserve">, teniendo relevancias similares en cuanto a la gestión de riesgo se trata. Sin embargo, es importante resaltar que el riesgo M2, fue con diferencia el riesgo con mayor probabilidad y mayor impacto. La volatilidad en precios para las materias primas ocurre constantemente en las industrias </w:t>
      </w:r>
      <w:r w:rsidR="00B22B8F">
        <w:t>manufactureras</w:t>
      </w:r>
      <w:r>
        <w:t xml:space="preserve">, y a pesar de ser un evento que ocurre frecuentemente, </w:t>
      </w:r>
      <w:r w:rsidR="00B22B8F">
        <w:t>la incertidumbre</w:t>
      </w:r>
      <w:r>
        <w:t xml:space="preserve"> de estos eventos hace que sean difíciles de predecir.</w:t>
      </w:r>
    </w:p>
    <w:p w14:paraId="698B84DC" w14:textId="186EBA79" w:rsidR="00B22B8F" w:rsidRDefault="00464704" w:rsidP="00A056C1">
      <w:pPr>
        <w:jc w:val="both"/>
      </w:pPr>
      <w:r>
        <w:t>Los riesgos reputacionales, a pesar de que se encuentren en el cuadrante inferior derecho de la matriz, cuentan con altos impactos, y son menos estudiados por los expertos, y a pesar de tener bajas probabilidades siguen teniendo altos impactos, por lo cual es importante tenerlos bajo control.</w:t>
      </w:r>
    </w:p>
    <w:p w14:paraId="5333520F" w14:textId="6A81901A" w:rsidR="00837846" w:rsidRDefault="00837846" w:rsidP="00A056C1">
      <w:pPr>
        <w:jc w:val="both"/>
      </w:pPr>
      <w:r>
        <w:t>Se recomienda usar modelos computacionales, como el descrito en este documento, como una alternativa viable para gestionar los riesgos climáticos. Contar con un modelo computacional permite atender el problema de manera rápida y efectiva, a la vez que permite la posibilidad de ir agregando nuevos eventos de riesgos a gestionar, sin tener que realizar procesos demorados.</w:t>
      </w:r>
    </w:p>
    <w:p w14:paraId="7B89B3D7" w14:textId="4A1E3BEE" w:rsidR="00B22B8F" w:rsidRDefault="00B22B8F" w:rsidP="00A056C1">
      <w:pPr>
        <w:jc w:val="both"/>
      </w:pPr>
      <w:r>
        <w:t xml:space="preserve">Se recomienda como trabajo futuro </w:t>
      </w:r>
      <w:r w:rsidR="005E186A">
        <w:t xml:space="preserve">estudiar métodos que permitan ponderar en un mismo criterio de impacto, la vulnerabilidad, la exposición y la resiliencia, como variable de entrada para el modelo de lógica borrosa, lo que permite capturar más información por parte de los expertos </w:t>
      </w:r>
      <w:r w:rsidR="005E186A">
        <w:lastRenderedPageBreak/>
        <w:t xml:space="preserve">como se evidencia en el modelo TOPSIS, teniendo en cuenta </w:t>
      </w:r>
      <w:r w:rsidR="00060D4C">
        <w:t>que,</w:t>
      </w:r>
      <w:r w:rsidR="005E186A">
        <w:t xml:space="preserve"> de acuerdo con la literatura analizada, existe una correlación entre estos cuatro criterios.</w:t>
      </w:r>
    </w:p>
    <w:p w14:paraId="7525CDAD" w14:textId="77777777" w:rsidR="00837846" w:rsidRPr="00D2140A" w:rsidRDefault="00837846" w:rsidP="00A056C1">
      <w:pPr>
        <w:jc w:val="both"/>
      </w:pPr>
    </w:p>
    <w:p w14:paraId="5FF27235" w14:textId="34487F87" w:rsidR="001E62C9" w:rsidRPr="00B22B8F" w:rsidRDefault="00C72C65" w:rsidP="001D6395">
      <w:pPr>
        <w:pStyle w:val="Ttulo1"/>
        <w:rPr>
          <w:lang w:val="es-CO"/>
        </w:rPr>
      </w:pPr>
      <w:bookmarkStart w:id="49" w:name="_Toc149994762"/>
      <w:r>
        <w:rPr>
          <w:lang w:val="es-CO"/>
        </w:rPr>
        <w:lastRenderedPageBreak/>
        <w:t>R</w:t>
      </w:r>
      <w:r w:rsidR="001E2EB6" w:rsidRPr="00B22B8F">
        <w:rPr>
          <w:lang w:val="es-CO"/>
        </w:rPr>
        <w:t>eferencias</w:t>
      </w:r>
      <w:bookmarkEnd w:id="49"/>
    </w:p>
    <w:p w14:paraId="62817DB4" w14:textId="4341745B" w:rsidR="006C6D6A" w:rsidRPr="006C6D6A" w:rsidRDefault="006C6D6A" w:rsidP="001F57C8">
      <w:pPr>
        <w:autoSpaceDE w:val="0"/>
        <w:autoSpaceDN w:val="0"/>
        <w:spacing w:before="0" w:after="240"/>
        <w:ind w:left="432" w:hanging="480"/>
        <w:rPr>
          <w:szCs w:val="24"/>
          <w:lang w:val="en-US"/>
        </w:rPr>
      </w:pPr>
      <w:r w:rsidRPr="006C6D6A">
        <w:rPr>
          <w:lang w:val="en-US"/>
        </w:rPr>
        <w:t xml:space="preserve">BlackRock. (2020). </w:t>
      </w:r>
      <w:r w:rsidRPr="006C6D6A">
        <w:rPr>
          <w:i/>
          <w:iCs/>
          <w:lang w:val="en-US"/>
        </w:rPr>
        <w:t xml:space="preserve">BlackRock Investment </w:t>
      </w:r>
      <w:proofErr w:type="gramStart"/>
      <w:r w:rsidRPr="006C6D6A">
        <w:rPr>
          <w:i/>
          <w:iCs/>
          <w:lang w:val="en-US"/>
        </w:rPr>
        <w:t>Stewardship ’</w:t>
      </w:r>
      <w:proofErr w:type="gramEnd"/>
      <w:r w:rsidRPr="006C6D6A">
        <w:rPr>
          <w:i/>
          <w:iCs/>
          <w:lang w:val="en-US"/>
        </w:rPr>
        <w:t xml:space="preserve"> s approach to engagement on the TCFD and the SASB aligned reporting</w:t>
      </w:r>
      <w:r w:rsidRPr="006C6D6A">
        <w:rPr>
          <w:lang w:val="en-US"/>
        </w:rPr>
        <w:t xml:space="preserve">. </w:t>
      </w:r>
      <w:r w:rsidRPr="006C6D6A">
        <w:rPr>
          <w:i/>
          <w:iCs/>
          <w:lang w:val="en-US"/>
        </w:rPr>
        <w:t>January</w:t>
      </w:r>
      <w:r w:rsidRPr="006C6D6A">
        <w:rPr>
          <w:lang w:val="en-US"/>
        </w:rPr>
        <w:t>. https://www.blackrock.com/corporate/literature/publication/blk-commentary-tcfd-sasb-aligned-reporting.pdf</w:t>
      </w:r>
    </w:p>
    <w:p w14:paraId="407D6ACF" w14:textId="0438877A" w:rsidR="00926A9B" w:rsidRPr="00926A9B" w:rsidRDefault="006C6D6A" w:rsidP="00926A9B">
      <w:pPr>
        <w:widowControl w:val="0"/>
        <w:autoSpaceDE w:val="0"/>
        <w:autoSpaceDN w:val="0"/>
        <w:adjustRightInd w:val="0"/>
        <w:spacing w:before="0" w:after="240"/>
        <w:ind w:left="480" w:hanging="480"/>
        <w:rPr>
          <w:noProof/>
          <w:szCs w:val="24"/>
        </w:rPr>
      </w:pPr>
      <w:r w:rsidRPr="006C6D6A">
        <w:t xml:space="preserve">GFL. (2022). </w:t>
      </w:r>
      <w:r w:rsidRPr="006C6D6A">
        <w:rPr>
          <w:i/>
          <w:iCs/>
        </w:rPr>
        <w:t>Riesgo climático</w:t>
      </w:r>
      <w:r w:rsidRPr="006C6D6A">
        <w:t>. https://greenfinancelac.org/es/nuestras-iniciativas/riesgo-climatico.</w:t>
      </w:r>
      <w:r w:rsidRPr="006C6D6A">
        <w:fldChar w:fldCharType="begin" w:fldLock="1"/>
      </w:r>
      <w:r w:rsidRPr="006C6D6A">
        <w:instrText xml:space="preserve">ADDIN Mendeley Bibliography CSL_BIBLIOGRAPHY </w:instrText>
      </w:r>
      <w:r w:rsidRPr="006C6D6A">
        <w:fldChar w:fldCharType="separate"/>
      </w:r>
      <w:r w:rsidR="00926A9B" w:rsidRPr="00926A9B">
        <w:rPr>
          <w:noProof/>
          <w:szCs w:val="24"/>
        </w:rPr>
        <w:t xml:space="preserve">Abdulfatah, A. Y., Jeffrey Dankwa, A., Manzoore Elahi, M. S., Ibham, V., Ukoba, K., Sandylove, A., … Kasumba, A. B. (2022). </w:t>
      </w:r>
      <w:r w:rsidR="00926A9B" w:rsidRPr="00926A9B">
        <w:rPr>
          <w:i/>
          <w:iCs/>
          <w:noProof/>
          <w:szCs w:val="24"/>
        </w:rPr>
        <w:t>Effects of hybrid nanoparticle additives in n-butanol/waste plastic oil/ diesel blends on combustion, particulate and gaseous emissions from diesel engine evaluated with entropy-weighted PROMETHEE II and TOPSIS: Environmental and health risks of plastic w</w:t>
      </w:r>
      <w:r w:rsidR="00926A9B" w:rsidRPr="00926A9B">
        <w:rPr>
          <w:noProof/>
          <w:szCs w:val="24"/>
        </w:rPr>
        <w:t>. Retrieved from https://acortar.link/HW4fjJ</w:t>
      </w:r>
    </w:p>
    <w:p w14:paraId="26776D8E"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Alao, M. A., Ayodele, T. R., Ogunjuyigbe, A. S. O., &amp; Popoola, O. M. (2020). </w:t>
      </w:r>
      <w:r w:rsidRPr="00926A9B">
        <w:rPr>
          <w:i/>
          <w:iCs/>
          <w:noProof/>
          <w:szCs w:val="24"/>
        </w:rPr>
        <w:t>Multi-criteria decision based waste to energy technology selection using entropy-weighted TOPSIS technique: The case study of Lagos, Nigeria</w:t>
      </w:r>
      <w:r w:rsidRPr="00926A9B">
        <w:rPr>
          <w:noProof/>
          <w:szCs w:val="24"/>
        </w:rPr>
        <w:t>. https://doi.org/10.1016/j.energy.2020.117675</w:t>
      </w:r>
    </w:p>
    <w:p w14:paraId="4EB298B5"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Alekhya, G. B. S., Shashikanth, K., &amp; Prasad, M. A. (2022). Risk assessment of cost overrun using fuzzy logic model. </w:t>
      </w:r>
      <w:r w:rsidRPr="00926A9B">
        <w:rPr>
          <w:i/>
          <w:iCs/>
          <w:noProof/>
          <w:szCs w:val="24"/>
        </w:rPr>
        <w:t>Materials Today: Proceedings</w:t>
      </w:r>
      <w:r w:rsidRPr="00926A9B">
        <w:rPr>
          <w:noProof/>
          <w:szCs w:val="24"/>
        </w:rPr>
        <w:t>, (xxxx). https://doi.org/10.1016/j.matpr.2021.12.415</w:t>
      </w:r>
    </w:p>
    <w:p w14:paraId="3499337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Angarita, A. A., &amp; Rios, C. A. T. J. I. (2015). Definición de un modelo de medición de análisis de riesgos de la seguridad de la información aplicando lógica difusa y sistemas basados en el conocimiento. </w:t>
      </w:r>
      <w:r w:rsidRPr="00926A9B">
        <w:rPr>
          <w:i/>
          <w:iCs/>
          <w:noProof/>
          <w:szCs w:val="24"/>
        </w:rPr>
        <w:t>Entre Ciencia e Ingeniería</w:t>
      </w:r>
      <w:r w:rsidRPr="00926A9B">
        <w:rPr>
          <w:noProof/>
          <w:szCs w:val="24"/>
        </w:rPr>
        <w:t>, Vol. 9, pp. 71–80.</w:t>
      </w:r>
    </w:p>
    <w:p w14:paraId="745842A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lastRenderedPageBreak/>
        <w:t xml:space="preserve">Argos. (2021). </w:t>
      </w:r>
      <w:r w:rsidRPr="00926A9B">
        <w:rPr>
          <w:i/>
          <w:iCs/>
          <w:noProof/>
          <w:szCs w:val="24"/>
        </w:rPr>
        <w:t>climate change risks and opportunities based on TCFD recommendations</w:t>
      </w:r>
      <w:r w:rsidRPr="00926A9B">
        <w:rPr>
          <w:noProof/>
          <w:szCs w:val="24"/>
        </w:rPr>
        <w:t>.</w:t>
      </w:r>
    </w:p>
    <w:p w14:paraId="79020C7B"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Bera, A., Mukhopadhyay, B. P., &amp; Das, S. (2022). </w:t>
      </w:r>
      <w:r w:rsidRPr="00926A9B">
        <w:rPr>
          <w:i/>
          <w:iCs/>
          <w:noProof/>
          <w:szCs w:val="24"/>
        </w:rPr>
        <w:t>Groundwater vulnerability and contamination risk mapping of semi-arid Totko river basin, India using GIS-based DRASTIC model and AHP techniques</w:t>
      </w:r>
      <w:r w:rsidRPr="00926A9B">
        <w:rPr>
          <w:noProof/>
          <w:szCs w:val="24"/>
        </w:rPr>
        <w:t>. https://doi.org/10.1016/j.chemosphere.2022.135831</w:t>
      </w:r>
    </w:p>
    <w:p w14:paraId="5EA5C8C9"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Bingler, J. A., &amp; Senni, C. colesanti. (2020). </w:t>
      </w:r>
      <w:r w:rsidRPr="00926A9B">
        <w:rPr>
          <w:i/>
          <w:iCs/>
          <w:noProof/>
          <w:szCs w:val="24"/>
        </w:rPr>
        <w:t>Taming the Green Swan: How to improve climate-related financial risk assessments</w:t>
      </w:r>
      <w:r w:rsidRPr="00926A9B">
        <w:rPr>
          <w:noProof/>
          <w:szCs w:val="24"/>
        </w:rPr>
        <w:t>. https://doi.org/10.3929/ethz-b-000428321</w:t>
      </w:r>
    </w:p>
    <w:p w14:paraId="1914BBD6"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BlackRock. (2020). </w:t>
      </w:r>
      <w:r w:rsidRPr="00926A9B">
        <w:rPr>
          <w:i/>
          <w:iCs/>
          <w:noProof/>
          <w:szCs w:val="24"/>
        </w:rPr>
        <w:t>BlackRock Investment Stewardship ’ s approach to engagement on the TCFD and the SASB aligned reporting</w:t>
      </w:r>
      <w:r w:rsidRPr="00926A9B">
        <w:rPr>
          <w:noProof/>
          <w:szCs w:val="24"/>
        </w:rPr>
        <w:t>. (January). Retrieved from https://www.blackrock.com/corporate/literature/publication/blk-commentary-tcfd-sasb-aligned-reporting.pdf</w:t>
      </w:r>
    </w:p>
    <w:p w14:paraId="4B76BB09"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Cappo, A., &amp; Mironenkova, E. (2020). Climate Change Risk: Overview of the Current Landscape and Next Steps for Financial Institution. </w:t>
      </w:r>
      <w:r w:rsidRPr="00926A9B">
        <w:rPr>
          <w:i/>
          <w:iCs/>
          <w:noProof/>
          <w:szCs w:val="24"/>
        </w:rPr>
        <w:t>Research Paper Series</w:t>
      </w:r>
      <w:r w:rsidRPr="00926A9B">
        <w:rPr>
          <w:noProof/>
          <w:szCs w:val="24"/>
        </w:rPr>
        <w:t>, (29), 33. Retrieved from https://www.iasonltd.com/doc/rps/2020/2020_Climate_Change_Risk_!!_Overview_of_the_Current_Landscape_and_Next_Steps_for_Financial_Institutions.pdf</w:t>
      </w:r>
    </w:p>
    <w:p w14:paraId="24F22E40"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Ching-Lai, H., &amp; Kwangsun, Y. (1981). </w:t>
      </w:r>
      <w:r w:rsidRPr="00926A9B">
        <w:rPr>
          <w:i/>
          <w:iCs/>
          <w:noProof/>
          <w:szCs w:val="24"/>
        </w:rPr>
        <w:t>Methods for Multiple Attribute Decision Making</w:t>
      </w:r>
      <w:r w:rsidRPr="00926A9B">
        <w:rPr>
          <w:noProof/>
          <w:szCs w:val="24"/>
        </w:rPr>
        <w:t>.</w:t>
      </w:r>
    </w:p>
    <w:p w14:paraId="79E508E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Demidovskij, A. V. (2019). </w:t>
      </w:r>
      <w:r w:rsidRPr="00926A9B">
        <w:rPr>
          <w:i/>
          <w:iCs/>
          <w:noProof/>
          <w:szCs w:val="24"/>
        </w:rPr>
        <w:t>Comparative Analysis of MADM Approaches: ELECTRE, TOPSIS and Multi-level LDM Methodology</w:t>
      </w:r>
      <w:r w:rsidRPr="00926A9B">
        <w:rPr>
          <w:noProof/>
          <w:szCs w:val="24"/>
        </w:rPr>
        <w:t>.</w:t>
      </w:r>
    </w:p>
    <w:p w14:paraId="62930325"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Dundon, L. A., Nelson, K. S., Camp, J., Abkowitz, M., &amp; Jones, A. (2016). </w:t>
      </w:r>
      <w:r w:rsidRPr="00926A9B">
        <w:rPr>
          <w:i/>
          <w:iCs/>
          <w:noProof/>
          <w:szCs w:val="24"/>
        </w:rPr>
        <w:t>Regional Vulnerability Screening Assessments of Transportation Infrastructure</w:t>
      </w:r>
      <w:r w:rsidRPr="00926A9B">
        <w:rPr>
          <w:noProof/>
          <w:szCs w:val="24"/>
        </w:rPr>
        <w:t xml:space="preserve">. </w:t>
      </w:r>
      <w:r w:rsidRPr="00926A9B">
        <w:rPr>
          <w:noProof/>
          <w:szCs w:val="24"/>
        </w:rPr>
        <w:lastRenderedPageBreak/>
        <w:t>https://doi.org/10.3390/risks4030028</w:t>
      </w:r>
    </w:p>
    <w:p w14:paraId="3CEC8712"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El-Zein, A., &amp; Tonmoy, F. N. (2015). Assessment of vulnerability to climate change using a multi-criteria outranking approach with application to heat stress in Sydney. </w:t>
      </w:r>
      <w:r w:rsidRPr="00926A9B">
        <w:rPr>
          <w:i/>
          <w:iCs/>
          <w:noProof/>
          <w:szCs w:val="24"/>
        </w:rPr>
        <w:t>Ecological Indicators</w:t>
      </w:r>
      <w:r w:rsidRPr="00926A9B">
        <w:rPr>
          <w:noProof/>
          <w:szCs w:val="24"/>
        </w:rPr>
        <w:t xml:space="preserve">, </w:t>
      </w:r>
      <w:r w:rsidRPr="00926A9B">
        <w:rPr>
          <w:i/>
          <w:iCs/>
          <w:noProof/>
          <w:szCs w:val="24"/>
        </w:rPr>
        <w:t>48</w:t>
      </w:r>
      <w:r w:rsidRPr="00926A9B">
        <w:rPr>
          <w:noProof/>
          <w:szCs w:val="24"/>
        </w:rPr>
        <w:t>, 207–217. https://doi.org/10.1016/j.ecolind.2014.08.012</w:t>
      </w:r>
    </w:p>
    <w:p w14:paraId="5906953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Emanuele, C., Yannis, D., Pierre, M., Guido, S., &amp; Misa, T. (2019). Climate change challenges for central banks and financial regulators. Nature Climate Change. https://doi.org/10.1038/s41558-018-0175-0</w:t>
      </w:r>
    </w:p>
    <w:p w14:paraId="6C96D9A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Eric, W., &amp; Céline, V. (2020). </w:t>
      </w:r>
      <w:r w:rsidRPr="00926A9B">
        <w:rPr>
          <w:i/>
          <w:iCs/>
          <w:noProof/>
          <w:szCs w:val="24"/>
        </w:rPr>
        <w:t>Developing successful environmental decision support systems: Challenges and best practices. Journal of Environmental Management</w:t>
      </w:r>
      <w:r w:rsidRPr="00926A9B">
        <w:rPr>
          <w:noProof/>
          <w:szCs w:val="24"/>
        </w:rPr>
        <w:t>. https://doi.org/10.1016/j.jenvman.2020.110513</w:t>
      </w:r>
    </w:p>
    <w:p w14:paraId="7229063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Escobar-Pérez, J., &amp; Cuervo-Martínez, Á. (2008). VALIDEZ DE CONTENIDO Y JUICIO DE EXPERTOS: UNA APROXIMACIÓN A SU UTILIZACIÓN. </w:t>
      </w:r>
      <w:r w:rsidRPr="00926A9B">
        <w:rPr>
          <w:i/>
          <w:iCs/>
          <w:noProof/>
          <w:szCs w:val="24"/>
        </w:rPr>
        <w:t>Polymer</w:t>
      </w:r>
      <w:r w:rsidRPr="00926A9B">
        <w:rPr>
          <w:noProof/>
          <w:szCs w:val="24"/>
        </w:rPr>
        <w:t xml:space="preserve">, </w:t>
      </w:r>
      <w:r w:rsidRPr="00926A9B">
        <w:rPr>
          <w:i/>
          <w:iCs/>
          <w:noProof/>
          <w:szCs w:val="24"/>
        </w:rPr>
        <w:t>6</w:t>
      </w:r>
      <w:r w:rsidRPr="00926A9B">
        <w:rPr>
          <w:noProof/>
          <w:szCs w:val="24"/>
        </w:rPr>
        <w:t>(2), 27–36. https://doi.org/10.1016/0032-3861(78)90049-6</w:t>
      </w:r>
    </w:p>
    <w:p w14:paraId="2ADFE29E"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Federica, G., Fabio, I., &amp; Tiberio, D. (2017). </w:t>
      </w:r>
      <w:r w:rsidRPr="00926A9B">
        <w:rPr>
          <w:i/>
          <w:iCs/>
          <w:noProof/>
          <w:szCs w:val="24"/>
        </w:rPr>
        <w:t>The drivers of multinational enterprises’ climate change strategies: A quantitative study on climate-related risks and opportunities. Journal of Cleaner Production</w:t>
      </w:r>
      <w:r w:rsidRPr="00926A9B">
        <w:rPr>
          <w:noProof/>
          <w:szCs w:val="24"/>
        </w:rPr>
        <w:t>. https://doi.org/10.1016/j.jclepro.2017.03.018</w:t>
      </w:r>
    </w:p>
    <w:p w14:paraId="6A058643"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Feliciano, R. J., Guzmán-Luna, P., Boué, G., Mauricio-Iglesias, M., Hospido, A., &amp; Membré, J.-M. (2022). Strategies to mitigate food safety risk while minimizing environmental impacts in the era of climate change. </w:t>
      </w:r>
      <w:r w:rsidRPr="00926A9B">
        <w:rPr>
          <w:i/>
          <w:iCs/>
          <w:noProof/>
          <w:szCs w:val="24"/>
        </w:rPr>
        <w:t>Trends in Food Science &amp; Technology</w:t>
      </w:r>
      <w:r w:rsidRPr="00926A9B">
        <w:rPr>
          <w:noProof/>
          <w:szCs w:val="24"/>
        </w:rPr>
        <w:t xml:space="preserve">, </w:t>
      </w:r>
      <w:r w:rsidRPr="00926A9B">
        <w:rPr>
          <w:i/>
          <w:iCs/>
          <w:noProof/>
          <w:szCs w:val="24"/>
        </w:rPr>
        <w:t>126</w:t>
      </w:r>
      <w:r w:rsidRPr="00926A9B">
        <w:rPr>
          <w:noProof/>
          <w:szCs w:val="24"/>
        </w:rPr>
        <w:t>, 180–191. https://doi.org/10.1016/j.tifs.2022.02.027</w:t>
      </w:r>
    </w:p>
    <w:p w14:paraId="70FCA163"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lastRenderedPageBreak/>
        <w:t xml:space="preserve">IPCC. (2014). </w:t>
      </w:r>
      <w:r w:rsidRPr="00926A9B">
        <w:rPr>
          <w:i/>
          <w:iCs/>
          <w:noProof/>
          <w:szCs w:val="24"/>
        </w:rPr>
        <w:t>Cambio climático 2014 Equipo principal de redacción Equipo principal de redacción Unidad de apoyo técnico para el Informe de síntesis</w:t>
      </w:r>
      <w:r w:rsidRPr="00926A9B">
        <w:rPr>
          <w:noProof/>
          <w:szCs w:val="24"/>
        </w:rPr>
        <w:t>. Retrieved from http://www.ipcc.ch.</w:t>
      </w:r>
    </w:p>
    <w:p w14:paraId="26C84622"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Isabirye, M., Raju, D. V. ., Kitutu, M., Yemeline, V., Deckers, J., &amp; J. Poesen Additional. (2012). Climate Change, Credit Risk and Financial Stability. </w:t>
      </w:r>
      <w:r w:rsidRPr="00926A9B">
        <w:rPr>
          <w:i/>
          <w:iCs/>
          <w:noProof/>
          <w:szCs w:val="24"/>
        </w:rPr>
        <w:t>Intech</w:t>
      </w:r>
      <w:r w:rsidRPr="00926A9B">
        <w:rPr>
          <w:noProof/>
          <w:szCs w:val="24"/>
        </w:rPr>
        <w:t>, 13. Retrieved from http://dx.doi.org/10.1039/C7RA00172J%0Ahttps://www.intechopen.com/books/advanced-biometric-technologies/liveness-detection-in-biometrics%0Ahttp://dx.doi.org/10.1016/j.colsurfa.2011.12.014</w:t>
      </w:r>
    </w:p>
    <w:p w14:paraId="6C3740DE"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José Rui, F., Vincent, M., &amp; Bernard, R. (n.d.). </w:t>
      </w:r>
      <w:r w:rsidRPr="00926A9B">
        <w:rPr>
          <w:i/>
          <w:iCs/>
          <w:noProof/>
          <w:szCs w:val="24"/>
        </w:rPr>
        <w:t>ELECTRE Methods</w:t>
      </w:r>
      <w:r w:rsidRPr="00926A9B">
        <w:rPr>
          <w:noProof/>
          <w:szCs w:val="24"/>
        </w:rPr>
        <w:t>.</w:t>
      </w:r>
    </w:p>
    <w:p w14:paraId="1EC07F8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Jun, D., Tian-Tian, F., Yi-Sheng, Y., &amp; Yu, M. (n.d.). </w:t>
      </w:r>
      <w:r w:rsidRPr="00926A9B">
        <w:rPr>
          <w:i/>
          <w:iCs/>
          <w:noProof/>
          <w:szCs w:val="24"/>
        </w:rPr>
        <w:t>Macro-site selection of wind/solar hybrid power station based on ELECTRE-II</w:t>
      </w:r>
      <w:r w:rsidRPr="00926A9B">
        <w:rPr>
          <w:noProof/>
          <w:szCs w:val="24"/>
        </w:rPr>
        <w:t>. https://doi.org/10.1016/j.rser.2014.04.005</w:t>
      </w:r>
    </w:p>
    <w:p w14:paraId="59E95A0C"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Jun, K.-S., Chung, E.-S., Kim, Y.-G., &amp; Kim, Y. (n.d.). </w:t>
      </w:r>
      <w:r w:rsidRPr="00926A9B">
        <w:rPr>
          <w:i/>
          <w:iCs/>
          <w:noProof/>
          <w:szCs w:val="24"/>
        </w:rPr>
        <w:t>A fuzzy multi-criteria approach to flood risk vulnerability in South Korea by considering climate change impacts</w:t>
      </w:r>
      <w:r w:rsidRPr="00926A9B">
        <w:rPr>
          <w:noProof/>
          <w:szCs w:val="24"/>
        </w:rPr>
        <w:t>. https://doi.org/10.1016/j.eswa.2012.08.013</w:t>
      </w:r>
    </w:p>
    <w:p w14:paraId="68306FCC"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Kim, D., &amp; Lee, J. (2016). </w:t>
      </w:r>
      <w:r w:rsidRPr="00926A9B">
        <w:rPr>
          <w:i/>
          <w:iCs/>
          <w:noProof/>
          <w:szCs w:val="24"/>
        </w:rPr>
        <w:t>Development of a Web-Based Tool for Climate Change Risk Assessment in the Business Sector</w:t>
      </w:r>
      <w:r w:rsidRPr="00926A9B">
        <w:rPr>
          <w:noProof/>
          <w:szCs w:val="24"/>
        </w:rPr>
        <w:t>. https://doi.org/10.3390/su8101013</w:t>
      </w:r>
    </w:p>
    <w:p w14:paraId="253DE577"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Kölbel, J. F., Leippold, M., &amp; Wang, Q. (n.d.). </w:t>
      </w:r>
      <w:r w:rsidRPr="00926A9B">
        <w:rPr>
          <w:i/>
          <w:iCs/>
          <w:noProof/>
          <w:szCs w:val="24"/>
        </w:rPr>
        <w:t>Swiss Finance Institute Research Paper Series N ° 21-19</w:t>
      </w:r>
      <w:r w:rsidRPr="00926A9B">
        <w:rPr>
          <w:noProof/>
          <w:szCs w:val="24"/>
        </w:rPr>
        <w:t>.</w:t>
      </w:r>
    </w:p>
    <w:p w14:paraId="5298BF7A"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KPMG. (2019). </w:t>
      </w:r>
      <w:bookmarkStart w:id="50" w:name="_GoBack"/>
      <w:r w:rsidRPr="00926A9B">
        <w:rPr>
          <w:i/>
          <w:iCs/>
          <w:noProof/>
          <w:szCs w:val="24"/>
        </w:rPr>
        <w:t>Viento</w:t>
      </w:r>
      <w:bookmarkEnd w:id="50"/>
      <w:r w:rsidRPr="00926A9B">
        <w:rPr>
          <w:i/>
          <w:iCs/>
          <w:noProof/>
          <w:szCs w:val="24"/>
        </w:rPr>
        <w:t>s de cambio: La gestión de riesgos en el mundo digital</w:t>
      </w:r>
      <w:r w:rsidRPr="00926A9B">
        <w:rPr>
          <w:noProof/>
          <w:szCs w:val="24"/>
        </w:rPr>
        <w:t xml:space="preserve">. Retrieved from </w:t>
      </w:r>
      <w:r w:rsidRPr="00926A9B">
        <w:rPr>
          <w:noProof/>
          <w:szCs w:val="24"/>
        </w:rPr>
        <w:lastRenderedPageBreak/>
        <w:t>//www.tendencias.kpmg.es/wp- content/uploads/2019/04/Informe_Riesgos_Abril2019.pdf</w:t>
      </w:r>
    </w:p>
    <w:p w14:paraId="48F67C7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Luis M. Abadie; Elisa Sainz de Murieta; Ibon Galarraga. (2016). Climate Risk Assessment under Uncertainty: An Application to Main European Coastal Cities. Retrieved from https://www.frontiersin.org/articles/10.3389/fmars.2016.00265/full</w:t>
      </w:r>
    </w:p>
    <w:p w14:paraId="3311D692"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Mansour, Alali;Ahmad, Almogren;Mohammad, Mehedi Hassan;Iehab, AL Rassan;Zakirul, A., &amp; Bhuiyan. (2017). </w:t>
      </w:r>
      <w:r w:rsidRPr="00926A9B">
        <w:rPr>
          <w:i/>
          <w:iCs/>
          <w:noProof/>
          <w:szCs w:val="24"/>
        </w:rPr>
        <w:t>Improving Risk Assessment Model of Cyber Security Using Fuzzy Logic Inference System</w:t>
      </w:r>
      <w:r w:rsidRPr="00926A9B">
        <w:rPr>
          <w:noProof/>
          <w:szCs w:val="24"/>
        </w:rPr>
        <w:t>. https://doi.org///doi.org/doi:10.1016/j.cose.2017.09.011</w:t>
      </w:r>
    </w:p>
    <w:p w14:paraId="4E6163BF"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Markowski, A. S., &amp; Mannan, M. S. (2008). Fuzzy risk matrix. </w:t>
      </w:r>
      <w:r w:rsidRPr="00926A9B">
        <w:rPr>
          <w:i/>
          <w:iCs/>
          <w:noProof/>
          <w:szCs w:val="24"/>
        </w:rPr>
        <w:t>Journal of Hazardous Materials</w:t>
      </w:r>
      <w:r w:rsidRPr="00926A9B">
        <w:rPr>
          <w:noProof/>
          <w:szCs w:val="24"/>
        </w:rPr>
        <w:t xml:space="preserve">, </w:t>
      </w:r>
      <w:r w:rsidRPr="00926A9B">
        <w:rPr>
          <w:i/>
          <w:iCs/>
          <w:noProof/>
          <w:szCs w:val="24"/>
        </w:rPr>
        <w:t>159</w:t>
      </w:r>
      <w:r w:rsidRPr="00926A9B">
        <w:rPr>
          <w:noProof/>
          <w:szCs w:val="24"/>
        </w:rPr>
        <w:t>(1), 152–157. https://doi.org/10.1016/j.jhazmat.2008.03.055</w:t>
      </w:r>
    </w:p>
    <w:p w14:paraId="093C85E2"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i/>
          <w:iCs/>
          <w:noProof/>
          <w:szCs w:val="24"/>
        </w:rPr>
        <w:t>Modeling methodologies of synergic effects related to climate change and sustainable energy management</w:t>
      </w:r>
      <w:r w:rsidRPr="00926A9B">
        <w:rPr>
          <w:noProof/>
          <w:szCs w:val="24"/>
        </w:rPr>
        <w:t xml:space="preserve">. (2010). </w:t>
      </w:r>
      <w:r w:rsidRPr="00926A9B">
        <w:rPr>
          <w:i/>
          <w:iCs/>
          <w:noProof/>
          <w:szCs w:val="24"/>
        </w:rPr>
        <w:t>1</w:t>
      </w:r>
      <w:r w:rsidRPr="00926A9B">
        <w:rPr>
          <w:noProof/>
          <w:szCs w:val="24"/>
        </w:rPr>
        <w:t>, 11–19.</w:t>
      </w:r>
    </w:p>
    <w:p w14:paraId="71E8ED5D"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Monasterolo, I., Roventini, A., &amp; Foxon, T. J. (2019). Uncertainty of climate policies and implications for economics and finance : An evolutionary economics approach. </w:t>
      </w:r>
      <w:r w:rsidRPr="00926A9B">
        <w:rPr>
          <w:i/>
          <w:iCs/>
          <w:noProof/>
          <w:szCs w:val="24"/>
        </w:rPr>
        <w:t>Ecological Economics</w:t>
      </w:r>
      <w:r w:rsidRPr="00926A9B">
        <w:rPr>
          <w:noProof/>
          <w:szCs w:val="24"/>
        </w:rPr>
        <w:t xml:space="preserve">, </w:t>
      </w:r>
      <w:r w:rsidRPr="00926A9B">
        <w:rPr>
          <w:i/>
          <w:iCs/>
          <w:noProof/>
          <w:szCs w:val="24"/>
        </w:rPr>
        <w:t>163</w:t>
      </w:r>
      <w:r w:rsidRPr="00926A9B">
        <w:rPr>
          <w:noProof/>
          <w:szCs w:val="24"/>
        </w:rPr>
        <w:t>(June), 177–182. https://doi.org/10.1016/j.ecolecon.2019.05.012</w:t>
      </w:r>
    </w:p>
    <w:p w14:paraId="0FE706D1"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Nguyen, Q., Diaz-Rainey, I., &amp; Kuruppuarachchi, D. (2021). Predicting corporate carbon footprints for climate finance risk analyses: A machine learning approach. </w:t>
      </w:r>
      <w:r w:rsidRPr="00926A9B">
        <w:rPr>
          <w:i/>
          <w:iCs/>
          <w:noProof/>
          <w:szCs w:val="24"/>
        </w:rPr>
        <w:t>Energy Economics</w:t>
      </w:r>
      <w:r w:rsidRPr="00926A9B">
        <w:rPr>
          <w:noProof/>
          <w:szCs w:val="24"/>
        </w:rPr>
        <w:t xml:space="preserve">, </w:t>
      </w:r>
      <w:r w:rsidRPr="00926A9B">
        <w:rPr>
          <w:i/>
          <w:iCs/>
          <w:noProof/>
          <w:szCs w:val="24"/>
        </w:rPr>
        <w:t>95</w:t>
      </w:r>
      <w:r w:rsidRPr="00926A9B">
        <w:rPr>
          <w:noProof/>
          <w:szCs w:val="24"/>
        </w:rPr>
        <w:t>, 105129. https://doi.org/10.1016/j.eneco.2021.105129</w:t>
      </w:r>
    </w:p>
    <w:p w14:paraId="2CFD477C"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Nikolaou, I., Evangelinos, K., &amp; Filho, W. L. (2015). A system dynamic approach for exploring the effects of climate change risks on fi rms ’ economic performance. </w:t>
      </w:r>
      <w:r w:rsidRPr="00926A9B">
        <w:rPr>
          <w:i/>
          <w:iCs/>
          <w:noProof/>
          <w:szCs w:val="24"/>
        </w:rPr>
        <w:t xml:space="preserve">Journal of Cleaner </w:t>
      </w:r>
      <w:r w:rsidRPr="00926A9B">
        <w:rPr>
          <w:i/>
          <w:iCs/>
          <w:noProof/>
          <w:szCs w:val="24"/>
        </w:rPr>
        <w:lastRenderedPageBreak/>
        <w:t>Production</w:t>
      </w:r>
      <w:r w:rsidRPr="00926A9B">
        <w:rPr>
          <w:noProof/>
          <w:szCs w:val="24"/>
        </w:rPr>
        <w:t xml:space="preserve">, </w:t>
      </w:r>
      <w:r w:rsidRPr="00926A9B">
        <w:rPr>
          <w:i/>
          <w:iCs/>
          <w:noProof/>
          <w:szCs w:val="24"/>
        </w:rPr>
        <w:t>103</w:t>
      </w:r>
      <w:r w:rsidRPr="00926A9B">
        <w:rPr>
          <w:noProof/>
          <w:szCs w:val="24"/>
        </w:rPr>
        <w:t>, 499–506. https://doi.org/10.1016/j.jclepro.2014.09.086</w:t>
      </w:r>
    </w:p>
    <w:p w14:paraId="0BAC256F" w14:textId="2E263512" w:rsid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ONU. (2022). </w:t>
      </w:r>
      <w:r w:rsidRPr="00926A9B">
        <w:rPr>
          <w:i/>
          <w:iCs/>
          <w:noProof/>
          <w:szCs w:val="24"/>
        </w:rPr>
        <w:t>Buscar Contacto Coronavirus (COVID-19) Empresa y cambio climático: El aumento de la sensibilización pública crea una oportunidad significativa</w:t>
      </w:r>
      <w:r w:rsidRPr="00926A9B">
        <w:rPr>
          <w:noProof/>
          <w:szCs w:val="24"/>
        </w:rPr>
        <w:t>. Retrieved from https://www.un.org/es/chronicle/article/empresa-y-cambio-climatico-el-aumento-de-la-sensibilizacion-publica-crea-una-oportunidad</w:t>
      </w:r>
    </w:p>
    <w:p w14:paraId="0ACECF1B" w14:textId="4720B3AB" w:rsidR="009F4F0D" w:rsidRPr="009F4F0D" w:rsidRDefault="009F4F0D" w:rsidP="009F4F0D">
      <w:pPr>
        <w:autoSpaceDE w:val="0"/>
        <w:autoSpaceDN w:val="0"/>
        <w:spacing w:before="0" w:after="240"/>
        <w:ind w:firstLine="0"/>
      </w:pPr>
      <w:r w:rsidRPr="006C6D6A">
        <w:t xml:space="preserve">OECD. (2021). </w:t>
      </w:r>
      <w:r w:rsidRPr="006C6D6A">
        <w:rPr>
          <w:i/>
          <w:iCs/>
        </w:rPr>
        <w:t>25 ACCIONES sobre el clima</w:t>
      </w:r>
      <w:r w:rsidRPr="006C6D6A">
        <w:t>. https://www.oecd.org/environment/25-acciones-clima-es.pdf</w:t>
      </w:r>
    </w:p>
    <w:p w14:paraId="6624CE71"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Peña, A., Bonet, I., Lochmuller, C., Chiclana, F., &amp; Góngora, M. (2018). An integrated inverse adaptive neural fuzzy system with Monte-Carlo sampling method for operational risk management. </w:t>
      </w:r>
      <w:r w:rsidRPr="00926A9B">
        <w:rPr>
          <w:i/>
          <w:iCs/>
          <w:noProof/>
          <w:szCs w:val="24"/>
        </w:rPr>
        <w:t>Expert Systems With Applications</w:t>
      </w:r>
      <w:r w:rsidRPr="00926A9B">
        <w:rPr>
          <w:noProof/>
          <w:szCs w:val="24"/>
        </w:rPr>
        <w:t xml:space="preserve">, </w:t>
      </w:r>
      <w:r w:rsidRPr="00926A9B">
        <w:rPr>
          <w:i/>
          <w:iCs/>
          <w:noProof/>
          <w:szCs w:val="24"/>
        </w:rPr>
        <w:t>98</w:t>
      </w:r>
      <w:r w:rsidRPr="00926A9B">
        <w:rPr>
          <w:noProof/>
          <w:szCs w:val="24"/>
        </w:rPr>
        <w:t>, 11–26. https://doi.org/10.1016/j.eswa.2018.01.001</w:t>
      </w:r>
    </w:p>
    <w:p w14:paraId="2D10AAF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Rafiei-Sardooi, E., Azareh, A., Choubin, B., Mosavi, A. H., &amp; Clague, J. J. (2021). Evaluating urban flood risk using hybrid method of TOPSIS and machine learning. </w:t>
      </w:r>
      <w:r w:rsidRPr="00926A9B">
        <w:rPr>
          <w:i/>
          <w:iCs/>
          <w:noProof/>
          <w:szCs w:val="24"/>
        </w:rPr>
        <w:t>International Journal of Disaster Risk Reduction</w:t>
      </w:r>
      <w:r w:rsidRPr="00926A9B">
        <w:rPr>
          <w:noProof/>
          <w:szCs w:val="24"/>
        </w:rPr>
        <w:t xml:space="preserve">, </w:t>
      </w:r>
      <w:r w:rsidRPr="00926A9B">
        <w:rPr>
          <w:i/>
          <w:iCs/>
          <w:noProof/>
          <w:szCs w:val="24"/>
        </w:rPr>
        <w:t>66</w:t>
      </w:r>
      <w:r w:rsidRPr="00926A9B">
        <w:rPr>
          <w:noProof/>
          <w:szCs w:val="24"/>
        </w:rPr>
        <w:t>, 2212–4209. https://doi.org/10.1016/j.ijdrr.2021.102614</w:t>
      </w:r>
    </w:p>
    <w:p w14:paraId="737B2DAD"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Ratnayake, R. M. C., &amp; Antosz, K. (2017). Development of a Risk Matrix and Extending the Risk-based Maintenance Analysis with Fuzzy Logic. </w:t>
      </w:r>
      <w:r w:rsidRPr="00926A9B">
        <w:rPr>
          <w:i/>
          <w:iCs/>
          <w:noProof/>
          <w:szCs w:val="24"/>
        </w:rPr>
        <w:t>Procedia Engineering</w:t>
      </w:r>
      <w:r w:rsidRPr="00926A9B">
        <w:rPr>
          <w:noProof/>
          <w:szCs w:val="24"/>
        </w:rPr>
        <w:t xml:space="preserve">, </w:t>
      </w:r>
      <w:r w:rsidRPr="00926A9B">
        <w:rPr>
          <w:i/>
          <w:iCs/>
          <w:noProof/>
          <w:szCs w:val="24"/>
        </w:rPr>
        <w:t>182</w:t>
      </w:r>
      <w:r w:rsidRPr="00926A9B">
        <w:rPr>
          <w:noProof/>
          <w:szCs w:val="24"/>
        </w:rPr>
        <w:t>(1877), 602–610. https://doi.org/10.1016/j.proeng.2017.03.163</w:t>
      </w:r>
    </w:p>
    <w:p w14:paraId="57943A49"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Sakhel, A. (2017). Corporate climate risk management: Are European companies prepared? </w:t>
      </w:r>
      <w:r w:rsidRPr="00926A9B">
        <w:rPr>
          <w:i/>
          <w:iCs/>
          <w:noProof/>
          <w:szCs w:val="24"/>
        </w:rPr>
        <w:t>Journal of Cleaner Production</w:t>
      </w:r>
      <w:r w:rsidRPr="00926A9B">
        <w:rPr>
          <w:noProof/>
          <w:szCs w:val="24"/>
        </w:rPr>
        <w:t xml:space="preserve">, </w:t>
      </w:r>
      <w:r w:rsidRPr="00926A9B">
        <w:rPr>
          <w:i/>
          <w:iCs/>
          <w:noProof/>
          <w:szCs w:val="24"/>
        </w:rPr>
        <w:t>165</w:t>
      </w:r>
      <w:r w:rsidRPr="00926A9B">
        <w:rPr>
          <w:noProof/>
          <w:szCs w:val="24"/>
        </w:rPr>
        <w:t>, 103–118. https://doi.org/10.1016/j.jclepro.2017.07.056</w:t>
      </w:r>
    </w:p>
    <w:p w14:paraId="6C8CE6D9"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lastRenderedPageBreak/>
        <w:t>Samira, D., &amp; Sandra, R. (2020). Corporate environmental reporting: Are French firms compliant with the Task Force on Climate Financial Disclosures’ recommendations? Business Strategy and the Environment. https://doi.org/10.1002/bse.2651</w:t>
      </w:r>
    </w:p>
    <w:p w14:paraId="7480F4FC"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Shang, H., Lu, D., &amp; Zhou, Q. (2021). Early warning of enterprise finance risk of big data mining in internet of things based on fuzzy association rules. </w:t>
      </w:r>
      <w:r w:rsidRPr="00926A9B">
        <w:rPr>
          <w:i/>
          <w:iCs/>
          <w:noProof/>
          <w:szCs w:val="24"/>
        </w:rPr>
        <w:t>Neural Computing and Applications</w:t>
      </w:r>
      <w:r w:rsidRPr="00926A9B">
        <w:rPr>
          <w:noProof/>
          <w:szCs w:val="24"/>
        </w:rPr>
        <w:t xml:space="preserve">, </w:t>
      </w:r>
      <w:r w:rsidRPr="00926A9B">
        <w:rPr>
          <w:i/>
          <w:iCs/>
          <w:noProof/>
          <w:szCs w:val="24"/>
        </w:rPr>
        <w:t>33</w:t>
      </w:r>
      <w:r w:rsidRPr="00926A9B">
        <w:rPr>
          <w:noProof/>
          <w:szCs w:val="24"/>
        </w:rPr>
        <w:t>(9), 3901–3909. https://doi.org/10.1007/s00521-020-05510-5</w:t>
      </w:r>
    </w:p>
    <w:p w14:paraId="124365F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Simpson, N. P., Mach, K. J., Constable, A., Hess, J., Hogarth, R., Howden, M., … Trisos, C. H. (2021). A framework for complex climate change risk assessment. </w:t>
      </w:r>
      <w:r w:rsidRPr="00926A9B">
        <w:rPr>
          <w:i/>
          <w:iCs/>
          <w:noProof/>
          <w:szCs w:val="24"/>
        </w:rPr>
        <w:t>One Earth</w:t>
      </w:r>
      <w:r w:rsidRPr="00926A9B">
        <w:rPr>
          <w:noProof/>
          <w:szCs w:val="24"/>
        </w:rPr>
        <w:t>, Vol. 4, pp. 489–501. https://doi.org/10.1016/j.oneear.2021.03.005</w:t>
      </w:r>
    </w:p>
    <w:p w14:paraId="3EAB059A"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Surminski, S., Di Mauro, M., Baglee, J. A. R., Connell, R. K., Hankinson, J., Haworth, A. R., … Proverbs, D. (2018). Assessing climate risks across different business sectors and industries: An investigation of methodological challenges at national scale for the UK. </w:t>
      </w:r>
      <w:r w:rsidRPr="00926A9B">
        <w:rPr>
          <w:i/>
          <w:iCs/>
          <w:noProof/>
          <w:szCs w:val="24"/>
        </w:rPr>
        <w:t>Philosophical Transactions of the Royal Society A: Mathematical, Physical and Engineering Sciences</w:t>
      </w:r>
      <w:r w:rsidRPr="00926A9B">
        <w:rPr>
          <w:noProof/>
          <w:szCs w:val="24"/>
        </w:rPr>
        <w:t xml:space="preserve">, </w:t>
      </w:r>
      <w:r w:rsidRPr="00926A9B">
        <w:rPr>
          <w:i/>
          <w:iCs/>
          <w:noProof/>
          <w:szCs w:val="24"/>
        </w:rPr>
        <w:t>376</w:t>
      </w:r>
      <w:r w:rsidRPr="00926A9B">
        <w:rPr>
          <w:noProof/>
          <w:szCs w:val="24"/>
        </w:rPr>
        <w:t>(2121). https://doi.org/10.1098/rsta.2017.0307</w:t>
      </w:r>
    </w:p>
    <w:p w14:paraId="4202B51E"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TCFD. (2021). </w:t>
      </w:r>
      <w:r w:rsidRPr="00926A9B">
        <w:rPr>
          <w:i/>
          <w:iCs/>
          <w:noProof/>
          <w:szCs w:val="24"/>
        </w:rPr>
        <w:t>Task Force on Climate-related Financial Disclosures</w:t>
      </w:r>
      <w:r w:rsidRPr="00926A9B">
        <w:rPr>
          <w:noProof/>
          <w:szCs w:val="24"/>
        </w:rPr>
        <w:t>. Retrieved from https://assets.bbhub.io/company/sites/60/2020/10/TCFD_Booklet_FNL_Digital_March-2020.pdf</w:t>
      </w:r>
    </w:p>
    <w:p w14:paraId="7CEB275F"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THOMAS L. SAATY. (1977). </w:t>
      </w:r>
      <w:r w:rsidRPr="00926A9B">
        <w:rPr>
          <w:i/>
          <w:iCs/>
          <w:noProof/>
          <w:szCs w:val="24"/>
        </w:rPr>
        <w:t>A scaling method for priorities in hierarchical structures. Journal of Mathematical Psychology</w:t>
      </w:r>
      <w:r w:rsidRPr="00926A9B">
        <w:rPr>
          <w:noProof/>
          <w:szCs w:val="24"/>
        </w:rPr>
        <w:t>. Retrieved from https://sci-hub.se/10.1016/0022-2496(77)90033-5</w:t>
      </w:r>
    </w:p>
    <w:p w14:paraId="645261CB"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lastRenderedPageBreak/>
        <w:t xml:space="preserve">Travis, W. R., &amp; Bates, B. (2014). What is climate risk management? </w:t>
      </w:r>
      <w:r w:rsidRPr="00926A9B">
        <w:rPr>
          <w:i/>
          <w:iCs/>
          <w:noProof/>
          <w:szCs w:val="24"/>
        </w:rPr>
        <w:t>Climate Risk Management</w:t>
      </w:r>
      <w:r w:rsidRPr="00926A9B">
        <w:rPr>
          <w:noProof/>
          <w:szCs w:val="24"/>
        </w:rPr>
        <w:t xml:space="preserve">, </w:t>
      </w:r>
      <w:r w:rsidRPr="00926A9B">
        <w:rPr>
          <w:i/>
          <w:iCs/>
          <w:noProof/>
          <w:szCs w:val="24"/>
        </w:rPr>
        <w:t>1</w:t>
      </w:r>
      <w:r w:rsidRPr="00926A9B">
        <w:rPr>
          <w:noProof/>
          <w:szCs w:val="24"/>
        </w:rPr>
        <w:t>, 1–4. https://doi.org/10.1016/j.crm.2014.02.003</w:t>
      </w:r>
    </w:p>
    <w:p w14:paraId="477E935E"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Tu, Y., Shi, H., Chen, K., Liang, Y., Zhou, X., &amp; Lev, B. (2022). Three-reference-point based group ELECTRE III method for urban flood resilience evaluation. </w:t>
      </w:r>
      <w:r w:rsidRPr="00926A9B">
        <w:rPr>
          <w:i/>
          <w:iCs/>
          <w:noProof/>
          <w:szCs w:val="24"/>
        </w:rPr>
        <w:t>Expert Systems With Applications</w:t>
      </w:r>
      <w:r w:rsidRPr="00926A9B">
        <w:rPr>
          <w:noProof/>
          <w:szCs w:val="24"/>
        </w:rPr>
        <w:t xml:space="preserve">, </w:t>
      </w:r>
      <w:r w:rsidRPr="00926A9B">
        <w:rPr>
          <w:i/>
          <w:iCs/>
          <w:noProof/>
          <w:szCs w:val="24"/>
        </w:rPr>
        <w:t>210</w:t>
      </w:r>
      <w:r w:rsidRPr="00926A9B">
        <w:rPr>
          <w:noProof/>
          <w:szCs w:val="24"/>
        </w:rPr>
        <w:t>, 118488. https://doi.org/10.1016/j.eswa.2022.118488</w:t>
      </w:r>
    </w:p>
    <w:p w14:paraId="5DE86932" w14:textId="06307E99" w:rsid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Vicente Cestero, E. (2013). </w:t>
      </w:r>
      <w:r w:rsidRPr="00926A9B">
        <w:rPr>
          <w:i/>
          <w:iCs/>
          <w:noProof/>
          <w:szCs w:val="24"/>
        </w:rPr>
        <w:t>Un enfoque borroso para el análisis y la gestión de riesgos en sistemas de información</w:t>
      </w:r>
      <w:r w:rsidRPr="00926A9B">
        <w:rPr>
          <w:noProof/>
          <w:szCs w:val="24"/>
        </w:rPr>
        <w:t>. 106.</w:t>
      </w:r>
    </w:p>
    <w:p w14:paraId="0D756BC8" w14:textId="669D99C3" w:rsidR="009F4F0D" w:rsidRPr="009F4F0D" w:rsidRDefault="009F4F0D" w:rsidP="009F4F0D">
      <w:pPr>
        <w:autoSpaceDE w:val="0"/>
        <w:autoSpaceDN w:val="0"/>
        <w:spacing w:before="0" w:after="240"/>
        <w:ind w:firstLine="0"/>
      </w:pPr>
      <w:proofErr w:type="spellStart"/>
      <w:r w:rsidRPr="006C6D6A">
        <w:rPr>
          <w:lang w:val="en-US"/>
        </w:rPr>
        <w:t>Vientos</w:t>
      </w:r>
      <w:proofErr w:type="spellEnd"/>
      <w:r w:rsidRPr="006C6D6A">
        <w:rPr>
          <w:lang w:val="en-US"/>
        </w:rPr>
        <w:t xml:space="preserve"> de </w:t>
      </w:r>
      <w:proofErr w:type="spellStart"/>
      <w:r w:rsidRPr="006C6D6A">
        <w:rPr>
          <w:lang w:val="en-US"/>
        </w:rPr>
        <w:t>cambio</w:t>
      </w:r>
      <w:proofErr w:type="spellEnd"/>
      <w:r w:rsidRPr="006C6D6A">
        <w:rPr>
          <w:lang w:val="en-US"/>
        </w:rPr>
        <w:t xml:space="preserve">. </w:t>
      </w:r>
      <w:r w:rsidRPr="006C6D6A">
        <w:t xml:space="preserve">(2009). </w:t>
      </w:r>
      <w:proofErr w:type="spellStart"/>
      <w:r w:rsidRPr="006C6D6A">
        <w:rPr>
          <w:i/>
          <w:iCs/>
        </w:rPr>
        <w:t>Architectural</w:t>
      </w:r>
      <w:proofErr w:type="spellEnd"/>
      <w:r w:rsidRPr="006C6D6A">
        <w:rPr>
          <w:i/>
          <w:iCs/>
        </w:rPr>
        <w:t xml:space="preserve"> </w:t>
      </w:r>
      <w:proofErr w:type="spellStart"/>
      <w:r w:rsidRPr="006C6D6A">
        <w:rPr>
          <w:i/>
          <w:iCs/>
        </w:rPr>
        <w:t>Review</w:t>
      </w:r>
      <w:proofErr w:type="spellEnd"/>
      <w:r w:rsidRPr="006C6D6A">
        <w:t xml:space="preserve">, </w:t>
      </w:r>
      <w:r w:rsidRPr="006C6D6A">
        <w:rPr>
          <w:i/>
          <w:iCs/>
        </w:rPr>
        <w:t>c</w:t>
      </w:r>
      <w:r w:rsidRPr="006C6D6A">
        <w:t>, 2009–2009.</w:t>
      </w:r>
    </w:p>
    <w:p w14:paraId="38187A28"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Yang, T., Zhang, Q., Wan, X., Li, X., Wang, Y., &amp; Wang, W. (2020). </w:t>
      </w:r>
      <w:r w:rsidRPr="00926A9B">
        <w:rPr>
          <w:i/>
          <w:iCs/>
          <w:noProof/>
          <w:szCs w:val="24"/>
        </w:rPr>
        <w:t>Comprehensive ecological risk assessment for semi-arid basin based on conceptual model of risk response and improved TOPSIS model-a case study of Wei River Basin, China</w:t>
      </w:r>
      <w:r w:rsidRPr="00926A9B">
        <w:rPr>
          <w:noProof/>
          <w:szCs w:val="24"/>
        </w:rPr>
        <w:t>. https://doi.org/10.1016/j.scitotenv.2020.137502</w:t>
      </w:r>
    </w:p>
    <w:p w14:paraId="1E1325F4"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Zennaro, F., Furlan, E., Simeoni, C., Torresan, S., Aslan, S., Critto, A., &amp; Marcomini, A. (2021). Exploring machine learning potential for climate change risk assessment. </w:t>
      </w:r>
      <w:r w:rsidRPr="00926A9B">
        <w:rPr>
          <w:i/>
          <w:iCs/>
          <w:noProof/>
          <w:szCs w:val="24"/>
        </w:rPr>
        <w:t>Earth-Science Reviews</w:t>
      </w:r>
      <w:r w:rsidRPr="00926A9B">
        <w:rPr>
          <w:noProof/>
          <w:szCs w:val="24"/>
        </w:rPr>
        <w:t>, Vol. 220. https://doi.org/10.1016/j.earscirev.2021.103752</w:t>
      </w:r>
    </w:p>
    <w:p w14:paraId="5FA3B7D0"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Zhan TIANa, LYUb, X.-Y., ZOUc, H., Hong-Long YANGd, , Laixiang SUNc, E., PINYAf, M. S., … SMITHf, B. (2022). Advancing index-based climate risk assessment to facilitate adaptation planning: Application in Shanghai and Shenzhen, China. </w:t>
      </w:r>
      <w:r w:rsidRPr="00926A9B">
        <w:rPr>
          <w:i/>
          <w:iCs/>
          <w:noProof/>
          <w:szCs w:val="24"/>
        </w:rPr>
        <w:t>Science and Decisions</w:t>
      </w:r>
      <w:r w:rsidRPr="00926A9B">
        <w:rPr>
          <w:noProof/>
          <w:szCs w:val="24"/>
        </w:rPr>
        <w:t>.</w:t>
      </w:r>
    </w:p>
    <w:p w14:paraId="26CF8CEB" w14:textId="77777777" w:rsidR="00926A9B" w:rsidRPr="00926A9B" w:rsidRDefault="00926A9B" w:rsidP="00926A9B">
      <w:pPr>
        <w:widowControl w:val="0"/>
        <w:autoSpaceDE w:val="0"/>
        <w:autoSpaceDN w:val="0"/>
        <w:adjustRightInd w:val="0"/>
        <w:spacing w:before="0" w:after="240"/>
        <w:ind w:left="480" w:hanging="480"/>
        <w:rPr>
          <w:noProof/>
          <w:szCs w:val="24"/>
        </w:rPr>
      </w:pPr>
      <w:r w:rsidRPr="00926A9B">
        <w:rPr>
          <w:noProof/>
          <w:szCs w:val="24"/>
        </w:rPr>
        <w:t xml:space="preserve">Zheng, Q., Shen, S.-L., Zhou, A., &amp; Lyu, H.-M. (2022). </w:t>
      </w:r>
      <w:r w:rsidRPr="00926A9B">
        <w:rPr>
          <w:i/>
          <w:iCs/>
          <w:noProof/>
          <w:szCs w:val="24"/>
        </w:rPr>
        <w:t>Inundation risk assessment based on G-</w:t>
      </w:r>
      <w:r w:rsidRPr="00926A9B">
        <w:rPr>
          <w:i/>
          <w:iCs/>
          <w:noProof/>
          <w:szCs w:val="24"/>
        </w:rPr>
        <w:lastRenderedPageBreak/>
        <w:t>DEMATEL-AHP and its application to Zhengzhou flooding disaster</w:t>
      </w:r>
      <w:r w:rsidRPr="00926A9B">
        <w:rPr>
          <w:noProof/>
          <w:szCs w:val="24"/>
        </w:rPr>
        <w:t>. https://doi.org/10.1016/j.scs.2022.104138</w:t>
      </w:r>
    </w:p>
    <w:p w14:paraId="035DCB7F" w14:textId="0D3EE788" w:rsidR="00926A9B" w:rsidRPr="00926A9B" w:rsidRDefault="00926A9B" w:rsidP="00926A9B">
      <w:pPr>
        <w:widowControl w:val="0"/>
        <w:autoSpaceDE w:val="0"/>
        <w:autoSpaceDN w:val="0"/>
        <w:adjustRightInd w:val="0"/>
        <w:spacing w:before="0" w:after="240"/>
        <w:ind w:left="480" w:hanging="480"/>
        <w:rPr>
          <w:noProof/>
        </w:rPr>
      </w:pPr>
      <w:r w:rsidRPr="00926A9B">
        <w:rPr>
          <w:noProof/>
          <w:szCs w:val="24"/>
        </w:rPr>
        <w:t xml:space="preserve">Ранхигс, В. (2019). </w:t>
      </w:r>
      <w:r w:rsidRPr="00926A9B">
        <w:rPr>
          <w:i/>
          <w:iCs/>
          <w:noProof/>
          <w:szCs w:val="24"/>
        </w:rPr>
        <w:t xml:space="preserve">2312-6469 Cherepovets State University , Cherepovets , Russia Vologda branch RANHIGS , Vologda , Russia Stavropol State Agrarian University , Stavropol , </w:t>
      </w:r>
      <w:r w:rsidRPr="00926A9B">
        <w:rPr>
          <w:noProof/>
          <w:szCs w:val="24"/>
        </w:rPr>
        <w:t>225–242. https://doi.org/10.17213/2312-6469-2019-2-224-241</w:t>
      </w:r>
    </w:p>
    <w:p w14:paraId="692610F3" w14:textId="77777777" w:rsidR="006C6D6A" w:rsidRPr="006C6D6A" w:rsidRDefault="006C6D6A" w:rsidP="006C6D6A">
      <w:pPr>
        <w:autoSpaceDE w:val="0"/>
        <w:autoSpaceDN w:val="0"/>
        <w:spacing w:before="0" w:after="240"/>
        <w:ind w:hanging="480"/>
      </w:pPr>
      <w:r w:rsidRPr="006C6D6A">
        <w:fldChar w:fldCharType="end"/>
      </w:r>
    </w:p>
    <w:p w14:paraId="3215FF6F" w14:textId="6F76FFD5" w:rsidR="006C6D6A" w:rsidRPr="006C6D6A" w:rsidRDefault="006C6D6A" w:rsidP="006C6D6A">
      <w:pPr>
        <w:spacing w:before="0" w:after="240"/>
        <w:rPr>
          <w:rFonts w:cs="Arial"/>
        </w:rPr>
      </w:pPr>
      <w:r w:rsidRPr="006C6D6A">
        <w:t> </w:t>
      </w:r>
    </w:p>
    <w:p w14:paraId="69B98F56" w14:textId="57211ED3" w:rsidR="00F042AA" w:rsidRPr="00552981" w:rsidRDefault="00F042AA">
      <w:pPr>
        <w:rPr>
          <w:lang w:val="es-CO"/>
        </w:rPr>
        <w:sectPr w:rsidR="00F042AA" w:rsidRPr="00552981" w:rsidSect="00F55D2E">
          <w:pgSz w:w="12242" w:h="15842" w:code="1"/>
          <w:pgMar w:top="1418" w:right="1418" w:bottom="1418" w:left="1418" w:header="1134" w:footer="1134" w:gutter="0"/>
          <w:cols w:space="720"/>
        </w:sectPr>
      </w:pPr>
    </w:p>
    <w:p w14:paraId="79C93350" w14:textId="604448B1" w:rsidR="008E1951" w:rsidRPr="008E1951" w:rsidRDefault="008E1951" w:rsidP="008E1951">
      <w:pPr>
        <w:pStyle w:val="Descripcin"/>
        <w:rPr>
          <w:b/>
          <w:bCs/>
          <w:i w:val="0"/>
          <w:iCs w:val="0"/>
          <w:color w:val="000000" w:themeColor="text1"/>
          <w:sz w:val="24"/>
          <w:szCs w:val="24"/>
        </w:rPr>
      </w:pPr>
      <w:bookmarkStart w:id="51" w:name="_Toc134468871"/>
      <w:r w:rsidRPr="008E1951">
        <w:rPr>
          <w:b/>
          <w:bCs/>
          <w:i w:val="0"/>
          <w:iCs w:val="0"/>
          <w:color w:val="000000" w:themeColor="text1"/>
          <w:sz w:val="24"/>
          <w:szCs w:val="24"/>
        </w:rPr>
        <w:lastRenderedPageBreak/>
        <w:t xml:space="preserve">Anexos </w:t>
      </w:r>
      <w:r w:rsidRPr="008E1951">
        <w:rPr>
          <w:b/>
          <w:bCs/>
          <w:i w:val="0"/>
          <w:iCs w:val="0"/>
          <w:color w:val="000000" w:themeColor="text1"/>
          <w:sz w:val="24"/>
          <w:szCs w:val="24"/>
        </w:rPr>
        <w:fldChar w:fldCharType="begin"/>
      </w:r>
      <w:r w:rsidRPr="008E1951">
        <w:rPr>
          <w:b/>
          <w:bCs/>
          <w:i w:val="0"/>
          <w:iCs w:val="0"/>
          <w:color w:val="000000" w:themeColor="text1"/>
          <w:sz w:val="24"/>
          <w:szCs w:val="24"/>
        </w:rPr>
        <w:instrText xml:space="preserve"> SEQ Anexos \* ARABIC </w:instrText>
      </w:r>
      <w:r w:rsidRPr="008E1951">
        <w:rPr>
          <w:b/>
          <w:bCs/>
          <w:i w:val="0"/>
          <w:iCs w:val="0"/>
          <w:color w:val="000000" w:themeColor="text1"/>
          <w:sz w:val="24"/>
          <w:szCs w:val="24"/>
        </w:rPr>
        <w:fldChar w:fldCharType="separate"/>
      </w:r>
      <w:r w:rsidR="00036BF0">
        <w:rPr>
          <w:b/>
          <w:bCs/>
          <w:i w:val="0"/>
          <w:iCs w:val="0"/>
          <w:noProof/>
          <w:color w:val="000000" w:themeColor="text1"/>
          <w:sz w:val="24"/>
          <w:szCs w:val="24"/>
        </w:rPr>
        <w:t>1</w:t>
      </w:r>
      <w:r w:rsidRPr="008E1951">
        <w:rPr>
          <w:b/>
          <w:bCs/>
          <w:i w:val="0"/>
          <w:iCs w:val="0"/>
          <w:color w:val="000000" w:themeColor="text1"/>
          <w:sz w:val="24"/>
          <w:szCs w:val="24"/>
        </w:rPr>
        <w:fldChar w:fldCharType="end"/>
      </w:r>
      <w:r w:rsidRPr="008E1951">
        <w:rPr>
          <w:b/>
          <w:bCs/>
          <w:i w:val="0"/>
          <w:iCs w:val="0"/>
          <w:color w:val="000000" w:themeColor="text1"/>
          <w:sz w:val="24"/>
          <w:szCs w:val="24"/>
        </w:rPr>
        <w:t xml:space="preserve">. Código procesamiento de información TOPSIS y </w:t>
      </w:r>
      <w:proofErr w:type="spellStart"/>
      <w:r w:rsidRPr="008E1951">
        <w:rPr>
          <w:b/>
          <w:bCs/>
          <w:i w:val="0"/>
          <w:iCs w:val="0"/>
          <w:color w:val="000000" w:themeColor="text1"/>
          <w:sz w:val="24"/>
          <w:szCs w:val="24"/>
        </w:rPr>
        <w:t>Fuzzy</w:t>
      </w:r>
      <w:proofErr w:type="spellEnd"/>
      <w:r w:rsidRPr="008E1951">
        <w:rPr>
          <w:b/>
          <w:bCs/>
          <w:i w:val="0"/>
          <w:iCs w:val="0"/>
          <w:color w:val="000000" w:themeColor="text1"/>
          <w:sz w:val="24"/>
          <w:szCs w:val="24"/>
        </w:rPr>
        <w:t xml:space="preserve"> </w:t>
      </w:r>
      <w:proofErr w:type="spellStart"/>
      <w:r w:rsidRPr="008E1951">
        <w:rPr>
          <w:b/>
          <w:bCs/>
          <w:i w:val="0"/>
          <w:iCs w:val="0"/>
          <w:color w:val="000000" w:themeColor="text1"/>
          <w:sz w:val="24"/>
          <w:szCs w:val="24"/>
        </w:rPr>
        <w:t>Logic</w:t>
      </w:r>
      <w:bookmarkEnd w:id="51"/>
      <w:proofErr w:type="spellEnd"/>
    </w:p>
    <w:p w14:paraId="17BC446A" w14:textId="01D9D3D5" w:rsidR="00C044D9" w:rsidRDefault="00C044D9" w:rsidP="00C044D9">
      <w:r>
        <w:t>NOTA: debido a derechos de autor, y confidencialidad de la información, no está disponible todo el código. No obstante, a continuación, se encuentran los fragmentos de código más esenciales para el entendimiento del proceso.</w:t>
      </w:r>
    </w:p>
    <w:p w14:paraId="3356FC82" w14:textId="0F45612D" w:rsidR="00C044D9" w:rsidRDefault="00C044D9" w:rsidP="00043DB4">
      <w:pPr>
        <w:spacing w:before="0"/>
        <w:rPr>
          <w:noProof/>
        </w:rPr>
      </w:pPr>
      <w:r w:rsidRPr="00C044D9">
        <w:rPr>
          <w:noProof/>
        </w:rPr>
        <w:drawing>
          <wp:inline distT="0" distB="0" distL="0" distR="0" wp14:anchorId="2BF46AEB" wp14:editId="0A911A2C">
            <wp:extent cx="2527828" cy="1548882"/>
            <wp:effectExtent l="0" t="0" r="0" b="0"/>
            <wp:docPr id="19398500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850006" name=""/>
                    <pic:cNvPicPr/>
                  </pic:nvPicPr>
                  <pic:blipFill>
                    <a:blip r:embed="rId21"/>
                    <a:stretch>
                      <a:fillRect/>
                    </a:stretch>
                  </pic:blipFill>
                  <pic:spPr>
                    <a:xfrm>
                      <a:off x="0" y="0"/>
                      <a:ext cx="2544963" cy="1559381"/>
                    </a:xfrm>
                    <a:prstGeom prst="rect">
                      <a:avLst/>
                    </a:prstGeom>
                  </pic:spPr>
                </pic:pic>
              </a:graphicData>
            </a:graphic>
          </wp:inline>
        </w:drawing>
      </w:r>
      <w:r w:rsidR="00043DB4" w:rsidRPr="00043DB4">
        <w:rPr>
          <w:noProof/>
        </w:rPr>
        <w:t xml:space="preserve"> </w:t>
      </w:r>
      <w:r w:rsidR="00043DB4" w:rsidRPr="00043DB4">
        <w:rPr>
          <w:noProof/>
          <w:lang w:val="en-US"/>
        </w:rPr>
        <w:drawing>
          <wp:inline distT="0" distB="0" distL="0" distR="0" wp14:anchorId="2C967710" wp14:editId="75494DF2">
            <wp:extent cx="2954694" cy="1575314"/>
            <wp:effectExtent l="0" t="0" r="0" b="0"/>
            <wp:docPr id="108817483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174837" name="Imagen 1" descr="Texto&#10;&#10;Descripción generada automáticamente"/>
                    <pic:cNvPicPr/>
                  </pic:nvPicPr>
                  <pic:blipFill>
                    <a:blip r:embed="rId22"/>
                    <a:stretch>
                      <a:fillRect/>
                    </a:stretch>
                  </pic:blipFill>
                  <pic:spPr>
                    <a:xfrm>
                      <a:off x="0" y="0"/>
                      <a:ext cx="2973070" cy="1585111"/>
                    </a:xfrm>
                    <a:prstGeom prst="rect">
                      <a:avLst/>
                    </a:prstGeom>
                  </pic:spPr>
                </pic:pic>
              </a:graphicData>
            </a:graphic>
          </wp:inline>
        </w:drawing>
      </w:r>
    </w:p>
    <w:p w14:paraId="72AF22A4" w14:textId="097908F8" w:rsidR="00043DB4" w:rsidRDefault="00043DB4" w:rsidP="00043DB4">
      <w:pPr>
        <w:spacing w:before="0"/>
        <w:rPr>
          <w:noProof/>
        </w:rPr>
      </w:pPr>
      <w:r w:rsidRPr="00043DB4">
        <w:rPr>
          <w:noProof/>
          <w:lang w:val="en-US"/>
        </w:rPr>
        <w:drawing>
          <wp:inline distT="0" distB="0" distL="0" distR="0" wp14:anchorId="4B352B6D" wp14:editId="65EC645C">
            <wp:extent cx="2942253" cy="1005867"/>
            <wp:effectExtent l="0" t="0" r="0" b="0"/>
            <wp:docPr id="1549904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904841" name=""/>
                    <pic:cNvPicPr/>
                  </pic:nvPicPr>
                  <pic:blipFill>
                    <a:blip r:embed="rId23"/>
                    <a:stretch>
                      <a:fillRect/>
                    </a:stretch>
                  </pic:blipFill>
                  <pic:spPr>
                    <a:xfrm>
                      <a:off x="0" y="0"/>
                      <a:ext cx="2978510" cy="1018262"/>
                    </a:xfrm>
                    <a:prstGeom prst="rect">
                      <a:avLst/>
                    </a:prstGeom>
                  </pic:spPr>
                </pic:pic>
              </a:graphicData>
            </a:graphic>
          </wp:inline>
        </w:drawing>
      </w:r>
      <w:r w:rsidRPr="00043DB4">
        <w:rPr>
          <w:noProof/>
        </w:rPr>
        <w:t xml:space="preserve"> </w:t>
      </w:r>
      <w:r w:rsidRPr="00043DB4">
        <w:rPr>
          <w:noProof/>
          <w:lang w:val="en-US"/>
        </w:rPr>
        <w:drawing>
          <wp:inline distT="0" distB="0" distL="0" distR="0" wp14:anchorId="1A4E9BF0" wp14:editId="012437A0">
            <wp:extent cx="2345094" cy="1759571"/>
            <wp:effectExtent l="0" t="0" r="0" b="0"/>
            <wp:docPr id="1744919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91980" name=""/>
                    <pic:cNvPicPr/>
                  </pic:nvPicPr>
                  <pic:blipFill>
                    <a:blip r:embed="rId24"/>
                    <a:stretch>
                      <a:fillRect/>
                    </a:stretch>
                  </pic:blipFill>
                  <pic:spPr>
                    <a:xfrm>
                      <a:off x="0" y="0"/>
                      <a:ext cx="2351804" cy="1764606"/>
                    </a:xfrm>
                    <a:prstGeom prst="rect">
                      <a:avLst/>
                    </a:prstGeom>
                  </pic:spPr>
                </pic:pic>
              </a:graphicData>
            </a:graphic>
          </wp:inline>
        </w:drawing>
      </w:r>
    </w:p>
    <w:p w14:paraId="110167A0" w14:textId="0BF61303" w:rsidR="00043DB4" w:rsidRDefault="00043DB4" w:rsidP="00043DB4">
      <w:pPr>
        <w:spacing w:before="0"/>
        <w:rPr>
          <w:lang w:val="en-US"/>
        </w:rPr>
      </w:pPr>
      <w:r w:rsidRPr="00043DB4">
        <w:rPr>
          <w:noProof/>
          <w:lang w:val="en-US"/>
        </w:rPr>
        <w:drawing>
          <wp:inline distT="0" distB="0" distL="0" distR="0" wp14:anchorId="7A4422D8" wp14:editId="4097C06A">
            <wp:extent cx="5100735" cy="1341613"/>
            <wp:effectExtent l="0" t="0" r="0" b="0"/>
            <wp:docPr id="16856499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649938" name=""/>
                    <pic:cNvPicPr/>
                  </pic:nvPicPr>
                  <pic:blipFill>
                    <a:blip r:embed="rId25"/>
                    <a:stretch>
                      <a:fillRect/>
                    </a:stretch>
                  </pic:blipFill>
                  <pic:spPr>
                    <a:xfrm>
                      <a:off x="0" y="0"/>
                      <a:ext cx="5147227" cy="1353841"/>
                    </a:xfrm>
                    <a:prstGeom prst="rect">
                      <a:avLst/>
                    </a:prstGeom>
                  </pic:spPr>
                </pic:pic>
              </a:graphicData>
            </a:graphic>
          </wp:inline>
        </w:drawing>
      </w:r>
    </w:p>
    <w:p w14:paraId="5D596F4F" w14:textId="2083DFDB" w:rsidR="00043DB4" w:rsidRDefault="00043DB4" w:rsidP="00043DB4">
      <w:pPr>
        <w:spacing w:before="0"/>
        <w:rPr>
          <w:lang w:val="en-US"/>
        </w:rPr>
      </w:pPr>
      <w:r w:rsidRPr="00043DB4">
        <w:rPr>
          <w:noProof/>
          <w:lang w:val="en-US"/>
        </w:rPr>
        <w:lastRenderedPageBreak/>
        <w:drawing>
          <wp:inline distT="0" distB="0" distL="0" distR="0" wp14:anchorId="7E2F864F" wp14:editId="5AA5B5DC">
            <wp:extent cx="5972810" cy="3149600"/>
            <wp:effectExtent l="0" t="0" r="0" b="0"/>
            <wp:docPr id="312764369"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764369" name="Imagen 1" descr="Interfaz de usuario gráfica, Texto&#10;&#10;Descripción generada automáticamente"/>
                    <pic:cNvPicPr/>
                  </pic:nvPicPr>
                  <pic:blipFill>
                    <a:blip r:embed="rId26"/>
                    <a:stretch>
                      <a:fillRect/>
                    </a:stretch>
                  </pic:blipFill>
                  <pic:spPr>
                    <a:xfrm>
                      <a:off x="0" y="0"/>
                      <a:ext cx="5972810" cy="3149600"/>
                    </a:xfrm>
                    <a:prstGeom prst="rect">
                      <a:avLst/>
                    </a:prstGeom>
                  </pic:spPr>
                </pic:pic>
              </a:graphicData>
            </a:graphic>
          </wp:inline>
        </w:drawing>
      </w:r>
    </w:p>
    <w:p w14:paraId="35169982" w14:textId="0F44BE77" w:rsidR="00043DB4" w:rsidRDefault="00043DB4" w:rsidP="00043DB4">
      <w:pPr>
        <w:spacing w:before="0"/>
        <w:rPr>
          <w:noProof/>
        </w:rPr>
      </w:pPr>
      <w:r w:rsidRPr="00043DB4">
        <w:rPr>
          <w:noProof/>
          <w:lang w:val="en-US"/>
        </w:rPr>
        <w:lastRenderedPageBreak/>
        <w:drawing>
          <wp:inline distT="0" distB="0" distL="0" distR="0" wp14:anchorId="04363936" wp14:editId="739D0F96">
            <wp:extent cx="5299788" cy="3853981"/>
            <wp:effectExtent l="0" t="0" r="0" b="0"/>
            <wp:docPr id="3549338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933869" name=""/>
                    <pic:cNvPicPr/>
                  </pic:nvPicPr>
                  <pic:blipFill>
                    <a:blip r:embed="rId27"/>
                    <a:stretch>
                      <a:fillRect/>
                    </a:stretch>
                  </pic:blipFill>
                  <pic:spPr>
                    <a:xfrm>
                      <a:off x="0" y="0"/>
                      <a:ext cx="5304545" cy="3857440"/>
                    </a:xfrm>
                    <a:prstGeom prst="rect">
                      <a:avLst/>
                    </a:prstGeom>
                  </pic:spPr>
                </pic:pic>
              </a:graphicData>
            </a:graphic>
          </wp:inline>
        </w:drawing>
      </w:r>
      <w:r w:rsidRPr="00043DB4">
        <w:rPr>
          <w:noProof/>
        </w:rPr>
        <w:t xml:space="preserve"> </w:t>
      </w:r>
      <w:r w:rsidRPr="00043DB4">
        <w:rPr>
          <w:noProof/>
          <w:lang w:val="en-US"/>
        </w:rPr>
        <w:drawing>
          <wp:inline distT="0" distB="0" distL="0" distR="0" wp14:anchorId="3E83E865" wp14:editId="7CCD9036">
            <wp:extent cx="2463281" cy="3180124"/>
            <wp:effectExtent l="0" t="0" r="0" b="0"/>
            <wp:docPr id="2596017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601744" name=""/>
                    <pic:cNvPicPr/>
                  </pic:nvPicPr>
                  <pic:blipFill>
                    <a:blip r:embed="rId28"/>
                    <a:stretch>
                      <a:fillRect/>
                    </a:stretch>
                  </pic:blipFill>
                  <pic:spPr>
                    <a:xfrm>
                      <a:off x="0" y="0"/>
                      <a:ext cx="2473199" cy="3192929"/>
                    </a:xfrm>
                    <a:prstGeom prst="rect">
                      <a:avLst/>
                    </a:prstGeom>
                  </pic:spPr>
                </pic:pic>
              </a:graphicData>
            </a:graphic>
          </wp:inline>
        </w:drawing>
      </w:r>
      <w:r w:rsidR="00C02FA2" w:rsidRPr="00C02FA2">
        <w:rPr>
          <w:noProof/>
        </w:rPr>
        <w:t xml:space="preserve"> </w:t>
      </w:r>
      <w:r w:rsidR="00C02FA2" w:rsidRPr="00C02FA2">
        <w:rPr>
          <w:noProof/>
        </w:rPr>
        <w:drawing>
          <wp:inline distT="0" distB="0" distL="0" distR="0" wp14:anchorId="5DF8CF3A" wp14:editId="43CA4F28">
            <wp:extent cx="3116424" cy="3262867"/>
            <wp:effectExtent l="0" t="0" r="0" b="0"/>
            <wp:docPr id="1688700664" name="Imagen 1" descr="Text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700664" name="Imagen 1" descr="Texto, Tabla&#10;&#10;Descripción generada automáticamente"/>
                    <pic:cNvPicPr/>
                  </pic:nvPicPr>
                  <pic:blipFill>
                    <a:blip r:embed="rId29"/>
                    <a:stretch>
                      <a:fillRect/>
                    </a:stretch>
                  </pic:blipFill>
                  <pic:spPr>
                    <a:xfrm>
                      <a:off x="0" y="0"/>
                      <a:ext cx="3133428" cy="3280670"/>
                    </a:xfrm>
                    <a:prstGeom prst="rect">
                      <a:avLst/>
                    </a:prstGeom>
                  </pic:spPr>
                </pic:pic>
              </a:graphicData>
            </a:graphic>
          </wp:inline>
        </w:drawing>
      </w:r>
    </w:p>
    <w:p w14:paraId="25DB3F60" w14:textId="7FA14EDD" w:rsidR="00C02FA2" w:rsidRDefault="00C02FA2" w:rsidP="00043DB4">
      <w:pPr>
        <w:spacing w:before="0"/>
        <w:rPr>
          <w:lang w:val="en-US"/>
        </w:rPr>
      </w:pPr>
    </w:p>
    <w:p w14:paraId="27F8F8AD" w14:textId="04F0A918" w:rsidR="00043DB4" w:rsidRDefault="00043DB4" w:rsidP="00043DB4">
      <w:pPr>
        <w:spacing w:before="0"/>
        <w:rPr>
          <w:lang w:val="en-US"/>
        </w:rPr>
      </w:pPr>
      <w:r w:rsidRPr="00043DB4">
        <w:rPr>
          <w:noProof/>
          <w:lang w:val="en-US"/>
        </w:rPr>
        <w:lastRenderedPageBreak/>
        <w:drawing>
          <wp:inline distT="0" distB="0" distL="0" distR="0" wp14:anchorId="1F93B5B1" wp14:editId="2AE4A2D5">
            <wp:extent cx="5972810" cy="3438525"/>
            <wp:effectExtent l="0" t="0" r="0" b="0"/>
            <wp:docPr id="11233229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322950" name=""/>
                    <pic:cNvPicPr/>
                  </pic:nvPicPr>
                  <pic:blipFill>
                    <a:blip r:embed="rId30"/>
                    <a:stretch>
                      <a:fillRect/>
                    </a:stretch>
                  </pic:blipFill>
                  <pic:spPr>
                    <a:xfrm>
                      <a:off x="0" y="0"/>
                      <a:ext cx="5972810" cy="3438525"/>
                    </a:xfrm>
                    <a:prstGeom prst="rect">
                      <a:avLst/>
                    </a:prstGeom>
                  </pic:spPr>
                </pic:pic>
              </a:graphicData>
            </a:graphic>
          </wp:inline>
        </w:drawing>
      </w:r>
    </w:p>
    <w:p w14:paraId="439ED3A6" w14:textId="2D4E1F5E" w:rsidR="00C02FA2" w:rsidRDefault="00C02FA2" w:rsidP="00043DB4">
      <w:pPr>
        <w:spacing w:before="0"/>
        <w:rPr>
          <w:lang w:val="en-US"/>
        </w:rPr>
      </w:pPr>
      <w:r w:rsidRPr="00C02FA2">
        <w:rPr>
          <w:noProof/>
          <w:lang w:val="en-US"/>
        </w:rPr>
        <w:drawing>
          <wp:inline distT="0" distB="0" distL="0" distR="0" wp14:anchorId="29161D1C" wp14:editId="04ACA48D">
            <wp:extent cx="5972810" cy="3004820"/>
            <wp:effectExtent l="0" t="0" r="0" b="0"/>
            <wp:docPr id="18241265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126527" name=""/>
                    <pic:cNvPicPr/>
                  </pic:nvPicPr>
                  <pic:blipFill>
                    <a:blip r:embed="rId31"/>
                    <a:stretch>
                      <a:fillRect/>
                    </a:stretch>
                  </pic:blipFill>
                  <pic:spPr>
                    <a:xfrm>
                      <a:off x="0" y="0"/>
                      <a:ext cx="5972810" cy="3004820"/>
                    </a:xfrm>
                    <a:prstGeom prst="rect">
                      <a:avLst/>
                    </a:prstGeom>
                  </pic:spPr>
                </pic:pic>
              </a:graphicData>
            </a:graphic>
          </wp:inline>
        </w:drawing>
      </w:r>
    </w:p>
    <w:p w14:paraId="02A84A70" w14:textId="77777777" w:rsidR="008E1951" w:rsidRPr="00043DB4" w:rsidRDefault="008E1951" w:rsidP="00043DB4">
      <w:pPr>
        <w:spacing w:before="0"/>
        <w:rPr>
          <w:lang w:val="en-US"/>
        </w:rPr>
      </w:pPr>
    </w:p>
    <w:p w14:paraId="1F68E156" w14:textId="77777777" w:rsidR="008E1951" w:rsidRDefault="008E1951" w:rsidP="008E1951">
      <w:pPr>
        <w:pStyle w:val="Descripcin"/>
        <w:jc w:val="center"/>
        <w:rPr>
          <w:lang w:val="en-US"/>
        </w:rPr>
      </w:pPr>
    </w:p>
    <w:p w14:paraId="301F9140" w14:textId="1D2435D1" w:rsidR="008E1951" w:rsidRPr="008E1951" w:rsidRDefault="008E1951" w:rsidP="008E1951">
      <w:pPr>
        <w:pStyle w:val="Descripcin"/>
        <w:jc w:val="center"/>
        <w:rPr>
          <w:b/>
          <w:bCs/>
          <w:i w:val="0"/>
          <w:iCs w:val="0"/>
          <w:color w:val="000000" w:themeColor="text1"/>
          <w:sz w:val="24"/>
          <w:szCs w:val="24"/>
        </w:rPr>
      </w:pPr>
      <w:bookmarkStart w:id="52" w:name="_Toc134468872"/>
      <w:r w:rsidRPr="008E1951">
        <w:rPr>
          <w:b/>
          <w:bCs/>
          <w:i w:val="0"/>
          <w:iCs w:val="0"/>
          <w:color w:val="000000" w:themeColor="text1"/>
          <w:sz w:val="24"/>
          <w:szCs w:val="24"/>
        </w:rPr>
        <w:t xml:space="preserve">Anexos </w:t>
      </w:r>
      <w:r w:rsidRPr="008E1951">
        <w:rPr>
          <w:b/>
          <w:bCs/>
          <w:i w:val="0"/>
          <w:iCs w:val="0"/>
          <w:color w:val="000000" w:themeColor="text1"/>
          <w:sz w:val="24"/>
          <w:szCs w:val="24"/>
        </w:rPr>
        <w:fldChar w:fldCharType="begin"/>
      </w:r>
      <w:r w:rsidRPr="008E1951">
        <w:rPr>
          <w:b/>
          <w:bCs/>
          <w:i w:val="0"/>
          <w:iCs w:val="0"/>
          <w:color w:val="000000" w:themeColor="text1"/>
          <w:sz w:val="24"/>
          <w:szCs w:val="24"/>
        </w:rPr>
        <w:instrText xml:space="preserve"> SEQ Anexos \* ARABIC </w:instrText>
      </w:r>
      <w:r w:rsidRPr="008E1951">
        <w:rPr>
          <w:b/>
          <w:bCs/>
          <w:i w:val="0"/>
          <w:iCs w:val="0"/>
          <w:color w:val="000000" w:themeColor="text1"/>
          <w:sz w:val="24"/>
          <w:szCs w:val="24"/>
        </w:rPr>
        <w:fldChar w:fldCharType="separate"/>
      </w:r>
      <w:r w:rsidR="00036BF0">
        <w:rPr>
          <w:b/>
          <w:bCs/>
          <w:i w:val="0"/>
          <w:iCs w:val="0"/>
          <w:noProof/>
          <w:color w:val="000000" w:themeColor="text1"/>
          <w:sz w:val="24"/>
          <w:szCs w:val="24"/>
        </w:rPr>
        <w:t>2</w:t>
      </w:r>
      <w:r w:rsidRPr="008E1951">
        <w:rPr>
          <w:b/>
          <w:bCs/>
          <w:i w:val="0"/>
          <w:iCs w:val="0"/>
          <w:color w:val="000000" w:themeColor="text1"/>
          <w:sz w:val="24"/>
          <w:szCs w:val="24"/>
        </w:rPr>
        <w:fldChar w:fldCharType="end"/>
      </w:r>
      <w:r w:rsidRPr="008E1951">
        <w:rPr>
          <w:b/>
          <w:bCs/>
          <w:i w:val="0"/>
          <w:iCs w:val="0"/>
          <w:color w:val="000000" w:themeColor="text1"/>
          <w:sz w:val="24"/>
          <w:szCs w:val="24"/>
        </w:rPr>
        <w:t>. Instrumento de validación con expertos</w:t>
      </w:r>
      <w:bookmarkEnd w:id="52"/>
    </w:p>
    <w:p w14:paraId="4E8FF52A" w14:textId="77777777" w:rsidR="00926A9B" w:rsidRDefault="00926A9B" w:rsidP="00C4056F">
      <w:pPr>
        <w:spacing w:before="0"/>
        <w:rPr>
          <w:noProof/>
        </w:rPr>
      </w:pPr>
    </w:p>
    <w:p w14:paraId="08FB6F50" w14:textId="1843F860" w:rsidR="00926A9B" w:rsidRDefault="00926A9B" w:rsidP="00C4056F">
      <w:pPr>
        <w:spacing w:before="0"/>
        <w:rPr>
          <w:noProof/>
        </w:rPr>
      </w:pPr>
      <w:r>
        <w:rPr>
          <w:noProof/>
        </w:rPr>
        <w:lastRenderedPageBreak/>
        <w:t xml:space="preserve">NOTA: Se decidió llevar a cabo la encuesta en inglés, debido a </w:t>
      </w:r>
      <w:r w:rsidR="0085685C">
        <w:rPr>
          <w:noProof/>
        </w:rPr>
        <w:t>la posibilidad de encuestar expertos de distintas nacionalidades cuyos países de origen tengan una lengua materna diferente al español.</w:t>
      </w:r>
    </w:p>
    <w:p w14:paraId="06DB6E3F" w14:textId="03BD1C83" w:rsidR="00C02FA2" w:rsidRDefault="00C02FA2" w:rsidP="00C4056F">
      <w:pPr>
        <w:spacing w:before="0"/>
        <w:rPr>
          <w:noProof/>
        </w:rPr>
      </w:pPr>
      <w:r w:rsidRPr="00C02FA2">
        <w:rPr>
          <w:noProof/>
          <w:lang w:val="es-CO"/>
        </w:rPr>
        <w:drawing>
          <wp:inline distT="0" distB="0" distL="0" distR="0" wp14:anchorId="14B61F02" wp14:editId="6DFD9B4A">
            <wp:extent cx="2755641" cy="1504089"/>
            <wp:effectExtent l="0" t="0" r="0" b="0"/>
            <wp:docPr id="14478571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857160" name=""/>
                    <pic:cNvPicPr/>
                  </pic:nvPicPr>
                  <pic:blipFill>
                    <a:blip r:embed="rId32"/>
                    <a:stretch>
                      <a:fillRect/>
                    </a:stretch>
                  </pic:blipFill>
                  <pic:spPr>
                    <a:xfrm>
                      <a:off x="0" y="0"/>
                      <a:ext cx="2761432" cy="1507250"/>
                    </a:xfrm>
                    <a:prstGeom prst="rect">
                      <a:avLst/>
                    </a:prstGeom>
                  </pic:spPr>
                </pic:pic>
              </a:graphicData>
            </a:graphic>
          </wp:inline>
        </w:drawing>
      </w:r>
      <w:r w:rsidRPr="00C02FA2">
        <w:rPr>
          <w:noProof/>
        </w:rPr>
        <w:t xml:space="preserve"> </w:t>
      </w:r>
      <w:r w:rsidRPr="00C02FA2">
        <w:rPr>
          <w:noProof/>
          <w:lang w:val="es-CO"/>
        </w:rPr>
        <w:drawing>
          <wp:inline distT="0" distB="0" distL="0" distR="0" wp14:anchorId="79FA08DA" wp14:editId="2442F2D8">
            <wp:extent cx="2973355" cy="1388999"/>
            <wp:effectExtent l="0" t="0" r="0" b="0"/>
            <wp:docPr id="82074731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747310" name="Imagen 1" descr="Tabla&#10;&#10;Descripción generada automáticamente"/>
                    <pic:cNvPicPr/>
                  </pic:nvPicPr>
                  <pic:blipFill>
                    <a:blip r:embed="rId33"/>
                    <a:stretch>
                      <a:fillRect/>
                    </a:stretch>
                  </pic:blipFill>
                  <pic:spPr>
                    <a:xfrm>
                      <a:off x="0" y="0"/>
                      <a:ext cx="2989115" cy="1396361"/>
                    </a:xfrm>
                    <a:prstGeom prst="rect">
                      <a:avLst/>
                    </a:prstGeom>
                  </pic:spPr>
                </pic:pic>
              </a:graphicData>
            </a:graphic>
          </wp:inline>
        </w:drawing>
      </w:r>
    </w:p>
    <w:p w14:paraId="1F6CD7C9" w14:textId="37BA5954" w:rsidR="00C02FA2" w:rsidRDefault="00C02FA2" w:rsidP="00C4056F">
      <w:pPr>
        <w:spacing w:before="0"/>
        <w:rPr>
          <w:noProof/>
        </w:rPr>
      </w:pPr>
      <w:r>
        <w:rPr>
          <w:noProof/>
        </w:rPr>
        <w:t>NOTA: de la pregunta 3 a la pregunta 18, el formulario tiene el siguiente formato:</w:t>
      </w:r>
    </w:p>
    <w:p w14:paraId="74117BD8" w14:textId="55DBEA51" w:rsidR="00C02FA2" w:rsidRDefault="00C02FA2" w:rsidP="00C4056F">
      <w:pPr>
        <w:spacing w:before="0"/>
        <w:jc w:val="center"/>
        <w:rPr>
          <w:lang w:val="es-CO"/>
        </w:rPr>
      </w:pPr>
      <w:r w:rsidRPr="00C02FA2">
        <w:rPr>
          <w:noProof/>
          <w:lang w:val="es-CO"/>
        </w:rPr>
        <w:drawing>
          <wp:inline distT="0" distB="0" distL="0" distR="0" wp14:anchorId="70B8FDEA" wp14:editId="718BF22D">
            <wp:extent cx="3719804" cy="3179590"/>
            <wp:effectExtent l="0" t="0" r="0" b="0"/>
            <wp:docPr id="9150749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074985" name=""/>
                    <pic:cNvPicPr/>
                  </pic:nvPicPr>
                  <pic:blipFill>
                    <a:blip r:embed="rId34"/>
                    <a:stretch>
                      <a:fillRect/>
                    </a:stretch>
                  </pic:blipFill>
                  <pic:spPr>
                    <a:xfrm>
                      <a:off x="0" y="0"/>
                      <a:ext cx="3724651" cy="3183733"/>
                    </a:xfrm>
                    <a:prstGeom prst="rect">
                      <a:avLst/>
                    </a:prstGeom>
                  </pic:spPr>
                </pic:pic>
              </a:graphicData>
            </a:graphic>
          </wp:inline>
        </w:drawing>
      </w:r>
    </w:p>
    <w:p w14:paraId="66ED30E1" w14:textId="792E7862" w:rsidR="00C02FA2" w:rsidRDefault="00C02FA2" w:rsidP="00C4056F">
      <w:pPr>
        <w:spacing w:before="0"/>
        <w:rPr>
          <w:lang w:val="es-CO"/>
        </w:rPr>
      </w:pPr>
      <w:r w:rsidRPr="00C02FA2">
        <w:rPr>
          <w:noProof/>
          <w:lang w:val="es-CO"/>
        </w:rPr>
        <w:drawing>
          <wp:inline distT="0" distB="0" distL="0" distR="0" wp14:anchorId="06CD3094" wp14:editId="60F28916">
            <wp:extent cx="5972810" cy="698500"/>
            <wp:effectExtent l="0" t="0" r="0" b="0"/>
            <wp:docPr id="17211172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117215" name=""/>
                    <pic:cNvPicPr/>
                  </pic:nvPicPr>
                  <pic:blipFill>
                    <a:blip r:embed="rId35"/>
                    <a:stretch>
                      <a:fillRect/>
                    </a:stretch>
                  </pic:blipFill>
                  <pic:spPr>
                    <a:xfrm>
                      <a:off x="0" y="0"/>
                      <a:ext cx="5972810" cy="698500"/>
                    </a:xfrm>
                    <a:prstGeom prst="rect">
                      <a:avLst/>
                    </a:prstGeom>
                  </pic:spPr>
                </pic:pic>
              </a:graphicData>
            </a:graphic>
          </wp:inline>
        </w:drawing>
      </w:r>
    </w:p>
    <w:p w14:paraId="3D0BDD2B" w14:textId="3ED9E2CF" w:rsidR="00C02FA2" w:rsidRDefault="00C02FA2" w:rsidP="00C4056F">
      <w:pPr>
        <w:spacing w:before="0"/>
        <w:rPr>
          <w:lang w:val="es-CO"/>
        </w:rPr>
      </w:pPr>
      <w:r w:rsidRPr="00C02FA2">
        <w:rPr>
          <w:noProof/>
          <w:lang w:val="es-CO"/>
        </w:rPr>
        <w:drawing>
          <wp:inline distT="0" distB="0" distL="0" distR="0" wp14:anchorId="47DEFC56" wp14:editId="4FF74E1A">
            <wp:extent cx="5833234" cy="640702"/>
            <wp:effectExtent l="0" t="0" r="0" b="0"/>
            <wp:docPr id="1220358569" name="Imagen 1" descr="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358569" name="Imagen 1" descr="Patrón de fondo&#10;&#10;Descripción generada automáticamente"/>
                    <pic:cNvPicPr/>
                  </pic:nvPicPr>
                  <pic:blipFill rotWithShape="1">
                    <a:blip r:embed="rId36"/>
                    <a:srcRect l="2292" t="13431" b="5162"/>
                    <a:stretch/>
                  </pic:blipFill>
                  <pic:spPr bwMode="auto">
                    <a:xfrm>
                      <a:off x="0" y="0"/>
                      <a:ext cx="5835961" cy="641002"/>
                    </a:xfrm>
                    <a:prstGeom prst="rect">
                      <a:avLst/>
                    </a:prstGeom>
                    <a:ln>
                      <a:noFill/>
                    </a:ln>
                    <a:extLst>
                      <a:ext uri="{53640926-AAD7-44D8-BBD7-CCE9431645EC}">
                        <a14:shadowObscured xmlns:a14="http://schemas.microsoft.com/office/drawing/2010/main"/>
                      </a:ext>
                    </a:extLst>
                  </pic:spPr>
                </pic:pic>
              </a:graphicData>
            </a:graphic>
          </wp:inline>
        </w:drawing>
      </w:r>
    </w:p>
    <w:p w14:paraId="3E1AD8F1" w14:textId="37E06F6A" w:rsidR="00C02FA2" w:rsidRDefault="00C02FA2" w:rsidP="00C4056F">
      <w:pPr>
        <w:spacing w:before="0"/>
        <w:rPr>
          <w:lang w:val="es-CO"/>
        </w:rPr>
      </w:pPr>
      <w:r w:rsidRPr="00C02FA2">
        <w:rPr>
          <w:noProof/>
          <w:lang w:val="es-CO"/>
        </w:rPr>
        <w:lastRenderedPageBreak/>
        <w:drawing>
          <wp:inline distT="0" distB="0" distL="0" distR="0" wp14:anchorId="381EF9B2" wp14:editId="1EFD2AC8">
            <wp:extent cx="5867063" cy="925195"/>
            <wp:effectExtent l="0" t="0" r="0" b="0"/>
            <wp:docPr id="12994313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43138" name="Imagen 1" descr="Texto&#10;&#10;Descripción generada automáticamente"/>
                    <pic:cNvPicPr/>
                  </pic:nvPicPr>
                  <pic:blipFill rotWithShape="1">
                    <a:blip r:embed="rId37"/>
                    <a:srcRect l="1770"/>
                    <a:stretch/>
                  </pic:blipFill>
                  <pic:spPr bwMode="auto">
                    <a:xfrm>
                      <a:off x="0" y="0"/>
                      <a:ext cx="5867063" cy="925195"/>
                    </a:xfrm>
                    <a:prstGeom prst="rect">
                      <a:avLst/>
                    </a:prstGeom>
                    <a:ln>
                      <a:noFill/>
                    </a:ln>
                    <a:extLst>
                      <a:ext uri="{53640926-AAD7-44D8-BBD7-CCE9431645EC}">
                        <a14:shadowObscured xmlns:a14="http://schemas.microsoft.com/office/drawing/2010/main"/>
                      </a:ext>
                    </a:extLst>
                  </pic:spPr>
                </pic:pic>
              </a:graphicData>
            </a:graphic>
          </wp:inline>
        </w:drawing>
      </w:r>
    </w:p>
    <w:p w14:paraId="07D6D5BE" w14:textId="0CE336FC" w:rsidR="00C02FA2" w:rsidRDefault="00C02FA2" w:rsidP="00C4056F">
      <w:pPr>
        <w:spacing w:before="0"/>
        <w:rPr>
          <w:lang w:val="es-CO"/>
        </w:rPr>
      </w:pPr>
      <w:r w:rsidRPr="00C02FA2">
        <w:rPr>
          <w:noProof/>
          <w:lang w:val="es-CO"/>
        </w:rPr>
        <w:drawing>
          <wp:inline distT="0" distB="0" distL="0" distR="0" wp14:anchorId="03C1145A" wp14:editId="42EE63C7">
            <wp:extent cx="5898165" cy="956945"/>
            <wp:effectExtent l="0" t="0" r="0" b="0"/>
            <wp:docPr id="1812200790"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00790" name="Imagen 1" descr="Interfaz de usuario gráfica, Texto&#10;&#10;Descripción generada automáticamente"/>
                    <pic:cNvPicPr/>
                  </pic:nvPicPr>
                  <pic:blipFill rotWithShape="1">
                    <a:blip r:embed="rId38"/>
                    <a:srcRect l="1250"/>
                    <a:stretch/>
                  </pic:blipFill>
                  <pic:spPr bwMode="auto">
                    <a:xfrm>
                      <a:off x="0" y="0"/>
                      <a:ext cx="5898165" cy="956945"/>
                    </a:xfrm>
                    <a:prstGeom prst="rect">
                      <a:avLst/>
                    </a:prstGeom>
                    <a:ln>
                      <a:noFill/>
                    </a:ln>
                    <a:extLst>
                      <a:ext uri="{53640926-AAD7-44D8-BBD7-CCE9431645EC}">
                        <a14:shadowObscured xmlns:a14="http://schemas.microsoft.com/office/drawing/2010/main"/>
                      </a:ext>
                    </a:extLst>
                  </pic:spPr>
                </pic:pic>
              </a:graphicData>
            </a:graphic>
          </wp:inline>
        </w:drawing>
      </w:r>
    </w:p>
    <w:p w14:paraId="13B6AC98" w14:textId="69BB0F59" w:rsidR="00C02FA2" w:rsidRDefault="00C02FA2" w:rsidP="00C4056F">
      <w:pPr>
        <w:spacing w:before="0"/>
        <w:rPr>
          <w:noProof/>
        </w:rPr>
      </w:pPr>
      <w:r w:rsidRPr="00C02FA2">
        <w:rPr>
          <w:noProof/>
          <w:lang w:val="es-CO"/>
        </w:rPr>
        <w:drawing>
          <wp:inline distT="0" distB="0" distL="0" distR="0" wp14:anchorId="5F3F3C53" wp14:editId="30D46071">
            <wp:extent cx="5885724" cy="727075"/>
            <wp:effectExtent l="0" t="0" r="0" b="0"/>
            <wp:docPr id="14735143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14382" name=""/>
                    <pic:cNvPicPr/>
                  </pic:nvPicPr>
                  <pic:blipFill rotWithShape="1">
                    <a:blip r:embed="rId39"/>
                    <a:srcRect l="1458"/>
                    <a:stretch/>
                  </pic:blipFill>
                  <pic:spPr bwMode="auto">
                    <a:xfrm>
                      <a:off x="0" y="0"/>
                      <a:ext cx="5885724" cy="727075"/>
                    </a:xfrm>
                    <a:prstGeom prst="rect">
                      <a:avLst/>
                    </a:prstGeom>
                    <a:ln>
                      <a:noFill/>
                    </a:ln>
                    <a:extLst>
                      <a:ext uri="{53640926-AAD7-44D8-BBD7-CCE9431645EC}">
                        <a14:shadowObscured xmlns:a14="http://schemas.microsoft.com/office/drawing/2010/main"/>
                      </a:ext>
                    </a:extLst>
                  </pic:spPr>
                </pic:pic>
              </a:graphicData>
            </a:graphic>
          </wp:inline>
        </w:drawing>
      </w:r>
      <w:r w:rsidRPr="00C02FA2">
        <w:rPr>
          <w:noProof/>
        </w:rPr>
        <w:t xml:space="preserve"> </w:t>
      </w:r>
      <w:r w:rsidRPr="00C02FA2">
        <w:rPr>
          <w:noProof/>
          <w:lang w:val="es-CO"/>
        </w:rPr>
        <w:drawing>
          <wp:inline distT="0" distB="0" distL="0" distR="0" wp14:anchorId="3A8417C6" wp14:editId="6F1CF8E0">
            <wp:extent cx="5972810" cy="779780"/>
            <wp:effectExtent l="0" t="0" r="0" b="0"/>
            <wp:docPr id="162358495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584959" name="Imagen 1" descr="Texto&#10;&#10;Descripción generada automáticamente"/>
                    <pic:cNvPicPr/>
                  </pic:nvPicPr>
                  <pic:blipFill>
                    <a:blip r:embed="rId40"/>
                    <a:stretch>
                      <a:fillRect/>
                    </a:stretch>
                  </pic:blipFill>
                  <pic:spPr>
                    <a:xfrm>
                      <a:off x="0" y="0"/>
                      <a:ext cx="5972810" cy="779780"/>
                    </a:xfrm>
                    <a:prstGeom prst="rect">
                      <a:avLst/>
                    </a:prstGeom>
                  </pic:spPr>
                </pic:pic>
              </a:graphicData>
            </a:graphic>
          </wp:inline>
        </w:drawing>
      </w:r>
    </w:p>
    <w:p w14:paraId="7436A8DA" w14:textId="7DE619C8" w:rsidR="00C4056F" w:rsidRDefault="00C4056F" w:rsidP="00C4056F">
      <w:pPr>
        <w:spacing w:before="0"/>
        <w:rPr>
          <w:lang w:val="es-CO"/>
        </w:rPr>
      </w:pPr>
      <w:r w:rsidRPr="00C4056F">
        <w:rPr>
          <w:noProof/>
          <w:lang w:val="es-CO"/>
        </w:rPr>
        <w:drawing>
          <wp:inline distT="0" distB="0" distL="0" distR="0" wp14:anchorId="7F780025" wp14:editId="1368D614">
            <wp:extent cx="5972810" cy="875030"/>
            <wp:effectExtent l="0" t="0" r="0" b="0"/>
            <wp:docPr id="1035311556" name="Imagen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311556" name="Imagen 1" descr="Texto&#10;&#10;Descripción generada automáticamente con confianza media"/>
                    <pic:cNvPicPr/>
                  </pic:nvPicPr>
                  <pic:blipFill>
                    <a:blip r:embed="rId41"/>
                    <a:stretch>
                      <a:fillRect/>
                    </a:stretch>
                  </pic:blipFill>
                  <pic:spPr>
                    <a:xfrm>
                      <a:off x="0" y="0"/>
                      <a:ext cx="5972810" cy="875030"/>
                    </a:xfrm>
                    <a:prstGeom prst="rect">
                      <a:avLst/>
                    </a:prstGeom>
                  </pic:spPr>
                </pic:pic>
              </a:graphicData>
            </a:graphic>
          </wp:inline>
        </w:drawing>
      </w:r>
    </w:p>
    <w:p w14:paraId="138B2432" w14:textId="25AA359E" w:rsidR="00C4056F" w:rsidRDefault="00C4056F" w:rsidP="00C4056F">
      <w:pPr>
        <w:spacing w:before="0"/>
        <w:rPr>
          <w:lang w:val="es-CO"/>
        </w:rPr>
      </w:pPr>
      <w:r w:rsidRPr="00C4056F">
        <w:rPr>
          <w:noProof/>
          <w:lang w:val="es-CO"/>
        </w:rPr>
        <w:drawing>
          <wp:inline distT="0" distB="0" distL="0" distR="0" wp14:anchorId="0DD7BE6D" wp14:editId="2F4EE4BC">
            <wp:extent cx="5972810" cy="783590"/>
            <wp:effectExtent l="0" t="0" r="0" b="0"/>
            <wp:docPr id="1208983249"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983249" name="Imagen 1" descr="Texto&#10;&#10;Descripción generada automáticamente"/>
                    <pic:cNvPicPr/>
                  </pic:nvPicPr>
                  <pic:blipFill>
                    <a:blip r:embed="rId42"/>
                    <a:stretch>
                      <a:fillRect/>
                    </a:stretch>
                  </pic:blipFill>
                  <pic:spPr>
                    <a:xfrm>
                      <a:off x="0" y="0"/>
                      <a:ext cx="5972810" cy="783590"/>
                    </a:xfrm>
                    <a:prstGeom prst="rect">
                      <a:avLst/>
                    </a:prstGeom>
                  </pic:spPr>
                </pic:pic>
              </a:graphicData>
            </a:graphic>
          </wp:inline>
        </w:drawing>
      </w:r>
    </w:p>
    <w:p w14:paraId="0DE8F07D" w14:textId="22FF1030" w:rsidR="00C4056F" w:rsidRDefault="00C4056F" w:rsidP="00C4056F">
      <w:pPr>
        <w:spacing w:before="0"/>
        <w:rPr>
          <w:lang w:val="es-CO"/>
        </w:rPr>
      </w:pPr>
      <w:r w:rsidRPr="00C4056F">
        <w:rPr>
          <w:noProof/>
          <w:lang w:val="es-CO"/>
        </w:rPr>
        <w:drawing>
          <wp:inline distT="0" distB="0" distL="0" distR="0" wp14:anchorId="2E1CD476" wp14:editId="14035141">
            <wp:extent cx="5972810" cy="676275"/>
            <wp:effectExtent l="0" t="0" r="0" b="0"/>
            <wp:docPr id="20120346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034650" name=""/>
                    <pic:cNvPicPr/>
                  </pic:nvPicPr>
                  <pic:blipFill>
                    <a:blip r:embed="rId43"/>
                    <a:stretch>
                      <a:fillRect/>
                    </a:stretch>
                  </pic:blipFill>
                  <pic:spPr>
                    <a:xfrm>
                      <a:off x="0" y="0"/>
                      <a:ext cx="5972810" cy="676275"/>
                    </a:xfrm>
                    <a:prstGeom prst="rect">
                      <a:avLst/>
                    </a:prstGeom>
                  </pic:spPr>
                </pic:pic>
              </a:graphicData>
            </a:graphic>
          </wp:inline>
        </w:drawing>
      </w:r>
    </w:p>
    <w:p w14:paraId="5DE69B3A" w14:textId="3AADB99C" w:rsidR="00C4056F" w:rsidRDefault="00C4056F" w:rsidP="00C4056F">
      <w:pPr>
        <w:spacing w:before="0"/>
        <w:rPr>
          <w:lang w:val="es-CO"/>
        </w:rPr>
      </w:pPr>
      <w:r w:rsidRPr="00C4056F">
        <w:rPr>
          <w:noProof/>
          <w:lang w:val="es-CO"/>
        </w:rPr>
        <w:drawing>
          <wp:inline distT="0" distB="0" distL="0" distR="0" wp14:anchorId="35B65F67" wp14:editId="514D3466">
            <wp:extent cx="5972810" cy="787400"/>
            <wp:effectExtent l="0" t="0" r="0" b="0"/>
            <wp:docPr id="117770755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707551" name="Imagen 1" descr="Texto&#10;&#10;Descripción generada automáticamente"/>
                    <pic:cNvPicPr/>
                  </pic:nvPicPr>
                  <pic:blipFill>
                    <a:blip r:embed="rId44"/>
                    <a:stretch>
                      <a:fillRect/>
                    </a:stretch>
                  </pic:blipFill>
                  <pic:spPr>
                    <a:xfrm>
                      <a:off x="0" y="0"/>
                      <a:ext cx="5972810" cy="787400"/>
                    </a:xfrm>
                    <a:prstGeom prst="rect">
                      <a:avLst/>
                    </a:prstGeom>
                  </pic:spPr>
                </pic:pic>
              </a:graphicData>
            </a:graphic>
          </wp:inline>
        </w:drawing>
      </w:r>
    </w:p>
    <w:p w14:paraId="40A685AF" w14:textId="4A5F5B4B" w:rsidR="00C4056F" w:rsidRDefault="00C4056F" w:rsidP="00C4056F">
      <w:pPr>
        <w:spacing w:before="0"/>
        <w:rPr>
          <w:lang w:val="es-CO"/>
        </w:rPr>
      </w:pPr>
      <w:r w:rsidRPr="00C4056F">
        <w:rPr>
          <w:noProof/>
          <w:lang w:val="es-CO"/>
        </w:rPr>
        <w:lastRenderedPageBreak/>
        <w:drawing>
          <wp:inline distT="0" distB="0" distL="0" distR="0" wp14:anchorId="473E2004" wp14:editId="067633F4">
            <wp:extent cx="5972810" cy="718185"/>
            <wp:effectExtent l="0" t="0" r="0" b="0"/>
            <wp:docPr id="9110952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095216" name=""/>
                    <pic:cNvPicPr/>
                  </pic:nvPicPr>
                  <pic:blipFill>
                    <a:blip r:embed="rId45"/>
                    <a:stretch>
                      <a:fillRect/>
                    </a:stretch>
                  </pic:blipFill>
                  <pic:spPr>
                    <a:xfrm>
                      <a:off x="0" y="0"/>
                      <a:ext cx="5972810" cy="718185"/>
                    </a:xfrm>
                    <a:prstGeom prst="rect">
                      <a:avLst/>
                    </a:prstGeom>
                  </pic:spPr>
                </pic:pic>
              </a:graphicData>
            </a:graphic>
          </wp:inline>
        </w:drawing>
      </w:r>
    </w:p>
    <w:p w14:paraId="36D6329D" w14:textId="7F0E30F1" w:rsidR="00C4056F" w:rsidRDefault="00C4056F" w:rsidP="00C4056F">
      <w:pPr>
        <w:spacing w:before="0"/>
        <w:rPr>
          <w:lang w:val="es-CO"/>
        </w:rPr>
      </w:pPr>
      <w:r w:rsidRPr="00C4056F">
        <w:rPr>
          <w:noProof/>
          <w:lang w:val="es-CO"/>
        </w:rPr>
        <w:drawing>
          <wp:inline distT="0" distB="0" distL="0" distR="0" wp14:anchorId="5E789A1D" wp14:editId="5F280C3E">
            <wp:extent cx="5972810" cy="798830"/>
            <wp:effectExtent l="0" t="0" r="0" b="0"/>
            <wp:docPr id="367609236"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609236" name="Imagen 1" descr="Texto&#10;&#10;Descripción generada automáticamente"/>
                    <pic:cNvPicPr/>
                  </pic:nvPicPr>
                  <pic:blipFill>
                    <a:blip r:embed="rId46"/>
                    <a:stretch>
                      <a:fillRect/>
                    </a:stretch>
                  </pic:blipFill>
                  <pic:spPr>
                    <a:xfrm>
                      <a:off x="0" y="0"/>
                      <a:ext cx="5972810" cy="798830"/>
                    </a:xfrm>
                    <a:prstGeom prst="rect">
                      <a:avLst/>
                    </a:prstGeom>
                  </pic:spPr>
                </pic:pic>
              </a:graphicData>
            </a:graphic>
          </wp:inline>
        </w:drawing>
      </w:r>
    </w:p>
    <w:p w14:paraId="7F169AF2" w14:textId="3D3F2674" w:rsidR="00C4056F" w:rsidRDefault="00C4056F" w:rsidP="00C4056F">
      <w:pPr>
        <w:spacing w:before="0"/>
        <w:rPr>
          <w:lang w:val="es-CO"/>
        </w:rPr>
      </w:pPr>
      <w:r w:rsidRPr="00C4056F">
        <w:rPr>
          <w:noProof/>
          <w:lang w:val="es-CO"/>
        </w:rPr>
        <w:drawing>
          <wp:inline distT="0" distB="0" distL="0" distR="0" wp14:anchorId="3AB2F394" wp14:editId="1C8DA608">
            <wp:extent cx="5972810" cy="708660"/>
            <wp:effectExtent l="0" t="0" r="0" b="0"/>
            <wp:docPr id="5679455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945504" name=""/>
                    <pic:cNvPicPr/>
                  </pic:nvPicPr>
                  <pic:blipFill>
                    <a:blip r:embed="rId47"/>
                    <a:stretch>
                      <a:fillRect/>
                    </a:stretch>
                  </pic:blipFill>
                  <pic:spPr>
                    <a:xfrm>
                      <a:off x="0" y="0"/>
                      <a:ext cx="5972810" cy="708660"/>
                    </a:xfrm>
                    <a:prstGeom prst="rect">
                      <a:avLst/>
                    </a:prstGeom>
                  </pic:spPr>
                </pic:pic>
              </a:graphicData>
            </a:graphic>
          </wp:inline>
        </w:drawing>
      </w:r>
    </w:p>
    <w:p w14:paraId="5833E3B8" w14:textId="6480BDD5" w:rsidR="00C4056F" w:rsidRDefault="00C4056F" w:rsidP="00C4056F">
      <w:pPr>
        <w:spacing w:before="0"/>
        <w:rPr>
          <w:lang w:val="en-US"/>
        </w:rPr>
      </w:pPr>
      <w:r w:rsidRPr="00C4056F">
        <w:rPr>
          <w:noProof/>
          <w:lang w:val="es-CO"/>
        </w:rPr>
        <w:drawing>
          <wp:inline distT="0" distB="0" distL="0" distR="0" wp14:anchorId="39FF6E85" wp14:editId="676F35F9">
            <wp:extent cx="5972810" cy="708025"/>
            <wp:effectExtent l="0" t="0" r="0" b="0"/>
            <wp:docPr id="5216543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654336" name=""/>
                    <pic:cNvPicPr/>
                  </pic:nvPicPr>
                  <pic:blipFill>
                    <a:blip r:embed="rId48"/>
                    <a:stretch>
                      <a:fillRect/>
                    </a:stretch>
                  </pic:blipFill>
                  <pic:spPr>
                    <a:xfrm>
                      <a:off x="0" y="0"/>
                      <a:ext cx="5972810" cy="708025"/>
                    </a:xfrm>
                    <a:prstGeom prst="rect">
                      <a:avLst/>
                    </a:prstGeom>
                  </pic:spPr>
                </pic:pic>
              </a:graphicData>
            </a:graphic>
          </wp:inline>
        </w:drawing>
      </w:r>
    </w:p>
    <w:p w14:paraId="4E6021D8" w14:textId="42F4DD56" w:rsidR="00C4056F" w:rsidRDefault="00C4056F" w:rsidP="00C4056F">
      <w:pPr>
        <w:spacing w:before="0"/>
        <w:rPr>
          <w:lang w:val="en-US"/>
        </w:rPr>
      </w:pPr>
      <w:r w:rsidRPr="00C4056F">
        <w:rPr>
          <w:noProof/>
          <w:lang w:val="en-US"/>
        </w:rPr>
        <w:drawing>
          <wp:inline distT="0" distB="0" distL="0" distR="0" wp14:anchorId="46DBFB37" wp14:editId="03070430">
            <wp:extent cx="5972810" cy="716280"/>
            <wp:effectExtent l="0" t="0" r="0" b="0"/>
            <wp:docPr id="5432679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267957" name=""/>
                    <pic:cNvPicPr/>
                  </pic:nvPicPr>
                  <pic:blipFill>
                    <a:blip r:embed="rId49"/>
                    <a:stretch>
                      <a:fillRect/>
                    </a:stretch>
                  </pic:blipFill>
                  <pic:spPr>
                    <a:xfrm>
                      <a:off x="0" y="0"/>
                      <a:ext cx="5972810" cy="716280"/>
                    </a:xfrm>
                    <a:prstGeom prst="rect">
                      <a:avLst/>
                    </a:prstGeom>
                  </pic:spPr>
                </pic:pic>
              </a:graphicData>
            </a:graphic>
          </wp:inline>
        </w:drawing>
      </w:r>
    </w:p>
    <w:p w14:paraId="2DC6934E" w14:textId="2670443D" w:rsidR="00F578F1" w:rsidRDefault="00C4056F" w:rsidP="00060D4C">
      <w:pPr>
        <w:spacing w:before="0"/>
      </w:pPr>
      <w:r w:rsidRPr="00C4056F">
        <w:rPr>
          <w:noProof/>
          <w:lang w:val="en-US"/>
        </w:rPr>
        <w:drawing>
          <wp:inline distT="0" distB="0" distL="0" distR="0" wp14:anchorId="55DF8D2D" wp14:editId="6DB82679">
            <wp:extent cx="5972810" cy="807720"/>
            <wp:effectExtent l="0" t="0" r="0" b="0"/>
            <wp:docPr id="2049274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274201" name=""/>
                    <pic:cNvPicPr/>
                  </pic:nvPicPr>
                  <pic:blipFill>
                    <a:blip r:embed="rId50"/>
                    <a:stretch>
                      <a:fillRect/>
                    </a:stretch>
                  </pic:blipFill>
                  <pic:spPr>
                    <a:xfrm>
                      <a:off x="0" y="0"/>
                      <a:ext cx="5972810" cy="807720"/>
                    </a:xfrm>
                    <a:prstGeom prst="rect">
                      <a:avLst/>
                    </a:prstGeom>
                  </pic:spPr>
                </pic:pic>
              </a:graphicData>
            </a:graphic>
          </wp:inline>
        </w:drawing>
      </w:r>
    </w:p>
    <w:sectPr w:rsidR="00F578F1" w:rsidSect="00F55D2E">
      <w:pgSz w:w="12242" w:h="15842" w:code="1"/>
      <w:pgMar w:top="1418" w:right="1418" w:bottom="1418" w:left="1418" w:header="851" w:footer="85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ADCE83" w14:textId="77777777" w:rsidR="009960C6" w:rsidRDefault="009960C6">
      <w:r>
        <w:separator/>
      </w:r>
    </w:p>
  </w:endnote>
  <w:endnote w:type="continuationSeparator" w:id="0">
    <w:p w14:paraId="131C259D" w14:textId="77777777" w:rsidR="009960C6" w:rsidRDefault="00996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9B1895" w14:textId="690EA89C" w:rsidR="009F4F0D" w:rsidRDefault="009F4F0D" w:rsidP="008E1951">
    <w:pPr>
      <w:pStyle w:val="Piedepgina"/>
      <w:spacing w:before="0" w:line="240" w:lineRule="auto"/>
    </w:pPr>
    <w:r>
      <w:rPr>
        <w:rFonts w:ascii="Calibri" w:hAnsi="Calibri"/>
        <w:color w:val="1F497D"/>
      </w:rPr>
      <w:t>La información presentada en este documento es de exclusiva responsabilidad de los autores y no compromete a la EIA.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14F299" w14:textId="77777777" w:rsidR="009F4F0D" w:rsidRDefault="009F4F0D" w:rsidP="0044499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w:t>
    </w:r>
    <w:r>
      <w:rPr>
        <w:rStyle w:val="Nmerodepgina"/>
      </w:rPr>
      <w:fldChar w:fldCharType="end"/>
    </w:r>
  </w:p>
  <w:p w14:paraId="4CABD7C9" w14:textId="77777777" w:rsidR="009F4F0D" w:rsidRDefault="009F4F0D" w:rsidP="008029AB">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075EB0" w14:textId="77777777" w:rsidR="009F4F0D" w:rsidRDefault="009F4F0D" w:rsidP="00BA0BF9">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CC87A99" w14:textId="77777777" w:rsidR="009F4F0D" w:rsidRDefault="009F4F0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2D3CFE" w14:textId="77777777" w:rsidR="009960C6" w:rsidRDefault="009960C6">
      <w:r>
        <w:separator/>
      </w:r>
    </w:p>
  </w:footnote>
  <w:footnote w:type="continuationSeparator" w:id="0">
    <w:p w14:paraId="14E88A8A" w14:textId="77777777" w:rsidR="009960C6" w:rsidRDefault="009960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029292"/>
      <w:docPartObj>
        <w:docPartGallery w:val="Page Numbers (Top of Page)"/>
        <w:docPartUnique/>
      </w:docPartObj>
    </w:sdtPr>
    <w:sdtContent>
      <w:p w14:paraId="7D06DCD6" w14:textId="4D0CB09C" w:rsidR="009F4F0D" w:rsidRDefault="009F4F0D">
        <w:pPr>
          <w:pStyle w:val="Encabezado"/>
          <w:jc w:val="right"/>
        </w:pPr>
        <w:r>
          <w:fldChar w:fldCharType="begin"/>
        </w:r>
        <w:r>
          <w:instrText>PAGE   \* MERGEFORMAT</w:instrText>
        </w:r>
        <w:r>
          <w:fldChar w:fldCharType="separate"/>
        </w:r>
        <w: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374CB"/>
    <w:multiLevelType w:val="hybridMultilevel"/>
    <w:tmpl w:val="1DCEEF3C"/>
    <w:lvl w:ilvl="0" w:tplc="377277C4">
      <w:start w:val="1"/>
      <w:numFmt w:val="bullet"/>
      <w:lvlText w:val="o"/>
      <w:lvlJc w:val="left"/>
      <w:pPr>
        <w:tabs>
          <w:tab w:val="num" w:pos="680"/>
        </w:tabs>
        <w:ind w:left="680" w:hanging="396"/>
      </w:pPr>
      <w:rPr>
        <w:rFonts w:ascii="Courier New" w:hAnsi="Courier New" w:hint="default"/>
      </w:rPr>
    </w:lvl>
    <w:lvl w:ilvl="1" w:tplc="9364EF5A">
      <w:numFmt w:val="bullet"/>
      <w:lvlText w:val="-"/>
      <w:lvlJc w:val="left"/>
      <w:pPr>
        <w:tabs>
          <w:tab w:val="num" w:pos="1440"/>
        </w:tabs>
        <w:ind w:left="1440" w:hanging="360"/>
      </w:pPr>
      <w:rPr>
        <w:rFonts w:ascii="Arial" w:eastAsia="Times New Roman" w:hAnsi="Arial"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A54F0F"/>
    <w:multiLevelType w:val="multilevel"/>
    <w:tmpl w:val="6458FC0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bullet"/>
      <w:lvlText w:val="o"/>
      <w:lvlJc w:val="left"/>
      <w:pPr>
        <w:tabs>
          <w:tab w:val="num" w:pos="907"/>
        </w:tabs>
        <w:ind w:left="907" w:hanging="907"/>
      </w:pPr>
      <w:rPr>
        <w:rFonts w:ascii="Courier New" w:hAnsi="Courier New" w:hint="default"/>
      </w:rPr>
    </w:lvl>
    <w:lvl w:ilvl="4">
      <w:start w:val="1"/>
      <w:numFmt w:val="bullet"/>
      <w:lvlText w:val=""/>
      <w:lvlJc w:val="left"/>
      <w:pPr>
        <w:tabs>
          <w:tab w:val="num" w:pos="907"/>
        </w:tabs>
        <w:ind w:left="907" w:hanging="907"/>
      </w:pPr>
      <w:rPr>
        <w:rFonts w:ascii="Symbol" w:hAnsi="Symbol" w:hint="default"/>
        <w:color w:val="auto"/>
      </w:rPr>
    </w:lvl>
    <w:lvl w:ilvl="5">
      <w:start w:val="1"/>
      <w:numFmt w:val="bullet"/>
      <w:lvlText w:val=""/>
      <w:lvlJc w:val="left"/>
      <w:pPr>
        <w:tabs>
          <w:tab w:val="num" w:pos="907"/>
        </w:tabs>
        <w:ind w:left="964" w:hanging="964"/>
      </w:pPr>
      <w:rPr>
        <w:rFonts w:ascii="Symbol" w:hAnsi="Symbol" w:hint="default"/>
        <w:color w:val="auto"/>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0E260514"/>
    <w:multiLevelType w:val="hybridMultilevel"/>
    <w:tmpl w:val="DD6E48EC"/>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816949"/>
    <w:multiLevelType w:val="hybridMultilevel"/>
    <w:tmpl w:val="BA141362"/>
    <w:lvl w:ilvl="0" w:tplc="FFFFFFFF">
      <w:start w:val="1"/>
      <w:numFmt w:val="bullet"/>
      <w:lvlText w:val=""/>
      <w:lvlJc w:val="left"/>
      <w:pPr>
        <w:tabs>
          <w:tab w:val="num" w:pos="427"/>
        </w:tabs>
        <w:ind w:left="427" w:hanging="360"/>
      </w:pPr>
      <w:rPr>
        <w:rFonts w:ascii="Symbol" w:hAnsi="Symbol" w:hint="default"/>
      </w:rPr>
    </w:lvl>
    <w:lvl w:ilvl="1" w:tplc="FFFFFFFF" w:tentative="1">
      <w:start w:val="1"/>
      <w:numFmt w:val="bullet"/>
      <w:lvlText w:val="o"/>
      <w:lvlJc w:val="left"/>
      <w:pPr>
        <w:tabs>
          <w:tab w:val="num" w:pos="1507"/>
        </w:tabs>
        <w:ind w:left="1507" w:hanging="360"/>
      </w:pPr>
      <w:rPr>
        <w:rFonts w:ascii="Courier New" w:hAnsi="Courier New" w:hint="default"/>
      </w:rPr>
    </w:lvl>
    <w:lvl w:ilvl="2" w:tplc="FFFFFFFF" w:tentative="1">
      <w:start w:val="1"/>
      <w:numFmt w:val="bullet"/>
      <w:lvlText w:val=""/>
      <w:lvlJc w:val="left"/>
      <w:pPr>
        <w:tabs>
          <w:tab w:val="num" w:pos="2227"/>
        </w:tabs>
        <w:ind w:left="2227" w:hanging="360"/>
      </w:pPr>
      <w:rPr>
        <w:rFonts w:ascii="Wingdings" w:hAnsi="Wingdings" w:hint="default"/>
      </w:rPr>
    </w:lvl>
    <w:lvl w:ilvl="3" w:tplc="FFFFFFFF" w:tentative="1">
      <w:start w:val="1"/>
      <w:numFmt w:val="bullet"/>
      <w:lvlText w:val=""/>
      <w:lvlJc w:val="left"/>
      <w:pPr>
        <w:tabs>
          <w:tab w:val="num" w:pos="2947"/>
        </w:tabs>
        <w:ind w:left="2947" w:hanging="360"/>
      </w:pPr>
      <w:rPr>
        <w:rFonts w:ascii="Symbol" w:hAnsi="Symbol" w:hint="default"/>
      </w:rPr>
    </w:lvl>
    <w:lvl w:ilvl="4" w:tplc="FFFFFFFF" w:tentative="1">
      <w:start w:val="1"/>
      <w:numFmt w:val="bullet"/>
      <w:lvlText w:val="o"/>
      <w:lvlJc w:val="left"/>
      <w:pPr>
        <w:tabs>
          <w:tab w:val="num" w:pos="3667"/>
        </w:tabs>
        <w:ind w:left="3667" w:hanging="360"/>
      </w:pPr>
      <w:rPr>
        <w:rFonts w:ascii="Courier New" w:hAnsi="Courier New" w:hint="default"/>
      </w:rPr>
    </w:lvl>
    <w:lvl w:ilvl="5" w:tplc="FFFFFFFF" w:tentative="1">
      <w:start w:val="1"/>
      <w:numFmt w:val="bullet"/>
      <w:lvlText w:val=""/>
      <w:lvlJc w:val="left"/>
      <w:pPr>
        <w:tabs>
          <w:tab w:val="num" w:pos="4387"/>
        </w:tabs>
        <w:ind w:left="4387" w:hanging="360"/>
      </w:pPr>
      <w:rPr>
        <w:rFonts w:ascii="Wingdings" w:hAnsi="Wingdings" w:hint="default"/>
      </w:rPr>
    </w:lvl>
    <w:lvl w:ilvl="6" w:tplc="FFFFFFFF" w:tentative="1">
      <w:start w:val="1"/>
      <w:numFmt w:val="bullet"/>
      <w:lvlText w:val=""/>
      <w:lvlJc w:val="left"/>
      <w:pPr>
        <w:tabs>
          <w:tab w:val="num" w:pos="5107"/>
        </w:tabs>
        <w:ind w:left="5107" w:hanging="360"/>
      </w:pPr>
      <w:rPr>
        <w:rFonts w:ascii="Symbol" w:hAnsi="Symbol" w:hint="default"/>
      </w:rPr>
    </w:lvl>
    <w:lvl w:ilvl="7" w:tplc="FFFFFFFF" w:tentative="1">
      <w:start w:val="1"/>
      <w:numFmt w:val="bullet"/>
      <w:lvlText w:val="o"/>
      <w:lvlJc w:val="left"/>
      <w:pPr>
        <w:tabs>
          <w:tab w:val="num" w:pos="5827"/>
        </w:tabs>
        <w:ind w:left="5827" w:hanging="360"/>
      </w:pPr>
      <w:rPr>
        <w:rFonts w:ascii="Courier New" w:hAnsi="Courier New" w:hint="default"/>
      </w:rPr>
    </w:lvl>
    <w:lvl w:ilvl="8" w:tplc="FFFFFFFF" w:tentative="1">
      <w:start w:val="1"/>
      <w:numFmt w:val="bullet"/>
      <w:lvlText w:val=""/>
      <w:lvlJc w:val="left"/>
      <w:pPr>
        <w:tabs>
          <w:tab w:val="num" w:pos="6547"/>
        </w:tabs>
        <w:ind w:left="6547" w:hanging="360"/>
      </w:pPr>
      <w:rPr>
        <w:rFonts w:ascii="Wingdings" w:hAnsi="Wingdings" w:hint="default"/>
      </w:rPr>
    </w:lvl>
  </w:abstractNum>
  <w:abstractNum w:abstractNumId="4" w15:restartNumberingAfterBreak="0">
    <w:nsid w:val="1BC46BCF"/>
    <w:multiLevelType w:val="hybridMultilevel"/>
    <w:tmpl w:val="8576698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C8133D2"/>
    <w:multiLevelType w:val="hybridMultilevel"/>
    <w:tmpl w:val="C49E83C6"/>
    <w:lvl w:ilvl="0" w:tplc="2A767CD6">
      <w:numFmt w:val="bullet"/>
      <w:lvlText w:val="-"/>
      <w:lvlJc w:val="left"/>
      <w:pPr>
        <w:ind w:left="720" w:hanging="360"/>
      </w:pPr>
      <w:rPr>
        <w:rFonts w:ascii="Calibri" w:eastAsiaTheme="minorHAnsi" w:hAnsi="Calibri" w:cs="Calibri"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1B72B38"/>
    <w:multiLevelType w:val="hybridMultilevel"/>
    <w:tmpl w:val="679A0CA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60B212B"/>
    <w:multiLevelType w:val="hybridMultilevel"/>
    <w:tmpl w:val="3D7ADF66"/>
    <w:lvl w:ilvl="0" w:tplc="FFFFFFFF">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BAB0AD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037622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3771F34"/>
    <w:multiLevelType w:val="multilevel"/>
    <w:tmpl w:val="C142B43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bullet"/>
      <w:lvlText w:val="o"/>
      <w:lvlJc w:val="left"/>
      <w:pPr>
        <w:tabs>
          <w:tab w:val="num" w:pos="907"/>
        </w:tabs>
        <w:ind w:left="907" w:hanging="907"/>
      </w:pPr>
      <w:rPr>
        <w:rFonts w:ascii="Courier New" w:hAnsi="Courier New" w:hint="default"/>
      </w:rPr>
    </w:lvl>
    <w:lvl w:ilvl="4">
      <w:start w:val="1"/>
      <w:numFmt w:val="bullet"/>
      <w:lvlText w:val=""/>
      <w:lvlJc w:val="left"/>
      <w:pPr>
        <w:tabs>
          <w:tab w:val="num" w:pos="907"/>
        </w:tabs>
        <w:ind w:left="907" w:hanging="907"/>
      </w:pPr>
      <w:rPr>
        <w:rFonts w:ascii="Symbol" w:hAnsi="Symbol" w:hint="default"/>
        <w:color w:val="auto"/>
      </w:rPr>
    </w:lvl>
    <w:lvl w:ilvl="5">
      <w:start w:val="1"/>
      <w:numFmt w:val="bullet"/>
      <w:lvlText w:val=""/>
      <w:lvlJc w:val="left"/>
      <w:pPr>
        <w:tabs>
          <w:tab w:val="num" w:pos="907"/>
        </w:tabs>
        <w:ind w:left="964" w:hanging="964"/>
      </w:pPr>
      <w:rPr>
        <w:rFonts w:ascii="Symbol" w:hAnsi="Symbol" w:hint="default"/>
        <w:color w:val="auto"/>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3B2F302E"/>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42F1682A"/>
    <w:multiLevelType w:val="singleLevel"/>
    <w:tmpl w:val="D60ADC1A"/>
    <w:lvl w:ilvl="0">
      <w:start w:val="1"/>
      <w:numFmt w:val="bullet"/>
      <w:lvlText w:val=""/>
      <w:lvlJc w:val="left"/>
      <w:pPr>
        <w:tabs>
          <w:tab w:val="num" w:pos="360"/>
        </w:tabs>
        <w:ind w:left="360" w:hanging="360"/>
      </w:pPr>
      <w:rPr>
        <w:rFonts w:ascii="Symbol" w:hAnsi="Symbol" w:hint="default"/>
        <w:sz w:val="28"/>
      </w:rPr>
    </w:lvl>
  </w:abstractNum>
  <w:abstractNum w:abstractNumId="13" w15:restartNumberingAfterBreak="0">
    <w:nsid w:val="48B74A6C"/>
    <w:multiLevelType w:val="hybridMultilevel"/>
    <w:tmpl w:val="743EFB0E"/>
    <w:lvl w:ilvl="0" w:tplc="A6C6AEAC">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0E64E4F"/>
    <w:multiLevelType w:val="singleLevel"/>
    <w:tmpl w:val="EF785AF4"/>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3FF35C3"/>
    <w:multiLevelType w:val="hybridMultilevel"/>
    <w:tmpl w:val="6DF6DDBE"/>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6E84F72"/>
    <w:multiLevelType w:val="hybridMultilevel"/>
    <w:tmpl w:val="3C2AA802"/>
    <w:lvl w:ilvl="0" w:tplc="60504152">
      <w:start w:val="1"/>
      <w:numFmt w:val="bullet"/>
      <w:lvlText w:val="o"/>
      <w:lvlJc w:val="left"/>
      <w:pPr>
        <w:tabs>
          <w:tab w:val="num" w:pos="1418"/>
        </w:tabs>
        <w:ind w:left="1418" w:hanging="284"/>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AEE1787"/>
    <w:multiLevelType w:val="hybridMultilevel"/>
    <w:tmpl w:val="8662F6BC"/>
    <w:lvl w:ilvl="0" w:tplc="60504152">
      <w:start w:val="1"/>
      <w:numFmt w:val="bullet"/>
      <w:lvlText w:val="o"/>
      <w:lvlJc w:val="left"/>
      <w:pPr>
        <w:tabs>
          <w:tab w:val="num" w:pos="1418"/>
        </w:tabs>
        <w:ind w:left="1418" w:hanging="284"/>
      </w:pPr>
      <w:rPr>
        <w:rFonts w:ascii="Courier New" w:hAnsi="Courier New"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00B5FC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4E43933"/>
    <w:multiLevelType w:val="hybridMultilevel"/>
    <w:tmpl w:val="373C71B2"/>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5B64FB3"/>
    <w:multiLevelType w:val="hybridMultilevel"/>
    <w:tmpl w:val="9BEE8CC6"/>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E54187"/>
    <w:multiLevelType w:val="singleLevel"/>
    <w:tmpl w:val="EF785AF4"/>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78CB4D2B"/>
    <w:multiLevelType w:val="hybridMultilevel"/>
    <w:tmpl w:val="818C673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7B070DD5"/>
    <w:multiLevelType w:val="hybridMultilevel"/>
    <w:tmpl w:val="C646DEAA"/>
    <w:lvl w:ilvl="0" w:tplc="A03A4BD0">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17"/>
  </w:num>
  <w:num w:numId="4">
    <w:abstractNumId w:val="1"/>
  </w:num>
  <w:num w:numId="5">
    <w:abstractNumId w:val="16"/>
  </w:num>
  <w:num w:numId="6">
    <w:abstractNumId w:val="7"/>
  </w:num>
  <w:num w:numId="7">
    <w:abstractNumId w:val="19"/>
  </w:num>
  <w:num w:numId="8">
    <w:abstractNumId w:val="15"/>
  </w:num>
  <w:num w:numId="9">
    <w:abstractNumId w:val="20"/>
  </w:num>
  <w:num w:numId="10">
    <w:abstractNumId w:val="2"/>
  </w:num>
  <w:num w:numId="11">
    <w:abstractNumId w:val="4"/>
  </w:num>
  <w:num w:numId="12">
    <w:abstractNumId w:val="6"/>
  </w:num>
  <w:num w:numId="13">
    <w:abstractNumId w:val="3"/>
  </w:num>
  <w:num w:numId="14">
    <w:abstractNumId w:val="12"/>
  </w:num>
  <w:num w:numId="15">
    <w:abstractNumId w:val="8"/>
  </w:num>
  <w:num w:numId="16">
    <w:abstractNumId w:val="9"/>
  </w:num>
  <w:num w:numId="17">
    <w:abstractNumId w:val="18"/>
  </w:num>
  <w:num w:numId="18">
    <w:abstractNumId w:val="14"/>
  </w:num>
  <w:num w:numId="19">
    <w:abstractNumId w:val="21"/>
  </w:num>
  <w:num w:numId="20">
    <w:abstractNumId w:val="13"/>
  </w:num>
  <w:num w:numId="21">
    <w:abstractNumId w:val="23"/>
  </w:num>
  <w:num w:numId="22">
    <w:abstractNumId w:val="5"/>
  </w:num>
  <w:num w:numId="23">
    <w:abstractNumId w:val="22"/>
  </w:num>
  <w:num w:numId="24">
    <w:abstractNumId w:val="10"/>
  </w:num>
  <w:num w:numId="25">
    <w:abstractNumId w:val="11"/>
  </w:num>
  <w:num w:numId="26">
    <w:abstractNumId w:val="11"/>
  </w:num>
  <w:num w:numId="27">
    <w:abstractNumId w:val="11"/>
  </w:num>
  <w:num w:numId="28">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s-ES" w:vendorID="64" w:dllVersion="0" w:nlCheck="1" w:checkStyle="0"/>
  <w:activeWritingStyle w:appName="MSWord" w:lang="es-MX" w:vendorID="64" w:dllVersion="0" w:nlCheck="1" w:checkStyle="0"/>
  <w:activeWritingStyle w:appName="MSWord" w:lang="es-CO"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US" w:vendorID="64" w:dllVersion="4096" w:nlCheck="1" w:checkStyle="0"/>
  <w:activeWritingStyle w:appName="MSWord" w:lang="es-ES" w:vendorID="64" w:dllVersion="4096" w:nlCheck="1" w:checkStyle="0"/>
  <w:activeWritingStyle w:appName="MSWord" w:lang="es-MX" w:vendorID="64" w:dllVersion="4096" w:nlCheck="1" w:checkStyle="0"/>
  <w:activeWritingStyle w:appName="MSWord" w:lang="es-CO" w:vendorID="64" w:dllVersion="4096" w:nlCheck="1" w:checkStyle="0"/>
  <w:activeWritingStyle w:appName="MSWord" w:lang="es-ES_tradnl" w:vendorID="64" w:dllVersion="4096" w:nlCheck="1" w:checkStyle="0"/>
  <w:activeWritingStyle w:appName="MSWord" w:lang="es-419" w:vendorID="64" w:dllVersion="0" w:nlCheck="1" w:checkStyle="0"/>
  <w:activeWritingStyle w:appName="MSWord" w:lang="es-ES" w:vendorID="9" w:dllVersion="512" w:checkStyle="1"/>
  <w:activeWritingStyle w:appName="MSWord" w:lang="es-ES_tradnl" w:vendorID="9" w:dllVersion="512" w:checkStyle="1"/>
  <w:activeWritingStyle w:appName="MSWord" w:lang="es-CO" w:vendorID="9" w:dllVersion="512" w:checkStyle="1"/>
  <w:activeWritingStyle w:appName="MSWord" w:lang="es-MX" w:vendorID="9" w:dllVersion="512" w:checkStyle="1"/>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C27"/>
    <w:rsid w:val="000039E1"/>
    <w:rsid w:val="0000540D"/>
    <w:rsid w:val="00005E47"/>
    <w:rsid w:val="000065B0"/>
    <w:rsid w:val="00007758"/>
    <w:rsid w:val="00015013"/>
    <w:rsid w:val="00015203"/>
    <w:rsid w:val="00020CEB"/>
    <w:rsid w:val="000235FA"/>
    <w:rsid w:val="000268D6"/>
    <w:rsid w:val="00033479"/>
    <w:rsid w:val="00034FD0"/>
    <w:rsid w:val="00035034"/>
    <w:rsid w:val="00036BF0"/>
    <w:rsid w:val="00036FB7"/>
    <w:rsid w:val="0004099A"/>
    <w:rsid w:val="00043453"/>
    <w:rsid w:val="00043DB4"/>
    <w:rsid w:val="00045254"/>
    <w:rsid w:val="000501E7"/>
    <w:rsid w:val="00050FF1"/>
    <w:rsid w:val="00053F7A"/>
    <w:rsid w:val="00060D4C"/>
    <w:rsid w:val="00066D72"/>
    <w:rsid w:val="000704EA"/>
    <w:rsid w:val="00071849"/>
    <w:rsid w:val="000719A3"/>
    <w:rsid w:val="00072514"/>
    <w:rsid w:val="00074D48"/>
    <w:rsid w:val="000756F0"/>
    <w:rsid w:val="000847F4"/>
    <w:rsid w:val="00084B68"/>
    <w:rsid w:val="000863F6"/>
    <w:rsid w:val="00092159"/>
    <w:rsid w:val="000A34C6"/>
    <w:rsid w:val="000A5EE1"/>
    <w:rsid w:val="000B15F2"/>
    <w:rsid w:val="000B39D7"/>
    <w:rsid w:val="000B5A6E"/>
    <w:rsid w:val="000B7A0F"/>
    <w:rsid w:val="000C1112"/>
    <w:rsid w:val="000C3EE9"/>
    <w:rsid w:val="000C70C2"/>
    <w:rsid w:val="000D104B"/>
    <w:rsid w:val="000D1A33"/>
    <w:rsid w:val="000D1F7B"/>
    <w:rsid w:val="000D2EE9"/>
    <w:rsid w:val="000E14BD"/>
    <w:rsid w:val="000E226A"/>
    <w:rsid w:val="000E3461"/>
    <w:rsid w:val="000F0195"/>
    <w:rsid w:val="000F6F8E"/>
    <w:rsid w:val="00100F2A"/>
    <w:rsid w:val="001022E7"/>
    <w:rsid w:val="00105002"/>
    <w:rsid w:val="00105B98"/>
    <w:rsid w:val="00107A93"/>
    <w:rsid w:val="001130E0"/>
    <w:rsid w:val="00116C06"/>
    <w:rsid w:val="00122E7B"/>
    <w:rsid w:val="001248DF"/>
    <w:rsid w:val="00126813"/>
    <w:rsid w:val="00126A31"/>
    <w:rsid w:val="00127D7A"/>
    <w:rsid w:val="00130389"/>
    <w:rsid w:val="0013038F"/>
    <w:rsid w:val="00130771"/>
    <w:rsid w:val="00142E1A"/>
    <w:rsid w:val="00143510"/>
    <w:rsid w:val="001453A3"/>
    <w:rsid w:val="00145440"/>
    <w:rsid w:val="0014616E"/>
    <w:rsid w:val="0015206E"/>
    <w:rsid w:val="00152ED9"/>
    <w:rsid w:val="001542B6"/>
    <w:rsid w:val="00155004"/>
    <w:rsid w:val="0017172C"/>
    <w:rsid w:val="00172C85"/>
    <w:rsid w:val="00172CBB"/>
    <w:rsid w:val="0017302D"/>
    <w:rsid w:val="00173AB0"/>
    <w:rsid w:val="00174533"/>
    <w:rsid w:val="0018076E"/>
    <w:rsid w:val="00182B89"/>
    <w:rsid w:val="00190E86"/>
    <w:rsid w:val="001933E2"/>
    <w:rsid w:val="00193C2A"/>
    <w:rsid w:val="001A2B85"/>
    <w:rsid w:val="001A3E74"/>
    <w:rsid w:val="001A53AA"/>
    <w:rsid w:val="001B5406"/>
    <w:rsid w:val="001C7C98"/>
    <w:rsid w:val="001D294C"/>
    <w:rsid w:val="001D35AE"/>
    <w:rsid w:val="001D6395"/>
    <w:rsid w:val="001E09DB"/>
    <w:rsid w:val="001E10EA"/>
    <w:rsid w:val="001E28E3"/>
    <w:rsid w:val="001E2E73"/>
    <w:rsid w:val="001E2EB6"/>
    <w:rsid w:val="001E4DCB"/>
    <w:rsid w:val="001E62C9"/>
    <w:rsid w:val="001F40DE"/>
    <w:rsid w:val="001F57C8"/>
    <w:rsid w:val="001F67B0"/>
    <w:rsid w:val="00201355"/>
    <w:rsid w:val="00201706"/>
    <w:rsid w:val="00201C64"/>
    <w:rsid w:val="002020CE"/>
    <w:rsid w:val="0020239A"/>
    <w:rsid w:val="00202E0C"/>
    <w:rsid w:val="00206D38"/>
    <w:rsid w:val="00210168"/>
    <w:rsid w:val="002110B3"/>
    <w:rsid w:val="00211102"/>
    <w:rsid w:val="0021245D"/>
    <w:rsid w:val="00213384"/>
    <w:rsid w:val="0021391C"/>
    <w:rsid w:val="00217059"/>
    <w:rsid w:val="00221827"/>
    <w:rsid w:val="00223330"/>
    <w:rsid w:val="002261D6"/>
    <w:rsid w:val="0023033B"/>
    <w:rsid w:val="00235E42"/>
    <w:rsid w:val="00237198"/>
    <w:rsid w:val="00237C61"/>
    <w:rsid w:val="002422D2"/>
    <w:rsid w:val="00243E39"/>
    <w:rsid w:val="00254D57"/>
    <w:rsid w:val="00257EAC"/>
    <w:rsid w:val="00266840"/>
    <w:rsid w:val="00270CB3"/>
    <w:rsid w:val="00274E9C"/>
    <w:rsid w:val="002812F5"/>
    <w:rsid w:val="002874FB"/>
    <w:rsid w:val="002943F2"/>
    <w:rsid w:val="00297486"/>
    <w:rsid w:val="002A1423"/>
    <w:rsid w:val="002A1812"/>
    <w:rsid w:val="002A2B92"/>
    <w:rsid w:val="002A662B"/>
    <w:rsid w:val="002B5F9F"/>
    <w:rsid w:val="002B78AA"/>
    <w:rsid w:val="002C3755"/>
    <w:rsid w:val="002C3EEC"/>
    <w:rsid w:val="002C7582"/>
    <w:rsid w:val="002C7DCB"/>
    <w:rsid w:val="002D0D09"/>
    <w:rsid w:val="002D0E89"/>
    <w:rsid w:val="002D1A85"/>
    <w:rsid w:val="002D2A80"/>
    <w:rsid w:val="002D4482"/>
    <w:rsid w:val="002D5B4D"/>
    <w:rsid w:val="002D646B"/>
    <w:rsid w:val="002D7111"/>
    <w:rsid w:val="002E05EF"/>
    <w:rsid w:val="002E6B4F"/>
    <w:rsid w:val="002E6EBD"/>
    <w:rsid w:val="002E718A"/>
    <w:rsid w:val="002F09D1"/>
    <w:rsid w:val="002F41E1"/>
    <w:rsid w:val="002F5DDC"/>
    <w:rsid w:val="002F6A16"/>
    <w:rsid w:val="002F7233"/>
    <w:rsid w:val="00302AAF"/>
    <w:rsid w:val="00307E07"/>
    <w:rsid w:val="00310391"/>
    <w:rsid w:val="00312282"/>
    <w:rsid w:val="00314A27"/>
    <w:rsid w:val="00316F21"/>
    <w:rsid w:val="0031741A"/>
    <w:rsid w:val="00321BD9"/>
    <w:rsid w:val="00324454"/>
    <w:rsid w:val="0033666D"/>
    <w:rsid w:val="003372B6"/>
    <w:rsid w:val="00337F87"/>
    <w:rsid w:val="00342D6E"/>
    <w:rsid w:val="00346023"/>
    <w:rsid w:val="00353CFE"/>
    <w:rsid w:val="00355D8A"/>
    <w:rsid w:val="00357699"/>
    <w:rsid w:val="00357F06"/>
    <w:rsid w:val="00361572"/>
    <w:rsid w:val="00362A66"/>
    <w:rsid w:val="00366253"/>
    <w:rsid w:val="00372DBC"/>
    <w:rsid w:val="00380C55"/>
    <w:rsid w:val="003836BC"/>
    <w:rsid w:val="00386E51"/>
    <w:rsid w:val="00390B42"/>
    <w:rsid w:val="00391157"/>
    <w:rsid w:val="00392732"/>
    <w:rsid w:val="00394069"/>
    <w:rsid w:val="003A4A63"/>
    <w:rsid w:val="003A59AF"/>
    <w:rsid w:val="003A7FF4"/>
    <w:rsid w:val="003B1684"/>
    <w:rsid w:val="003B5A83"/>
    <w:rsid w:val="003B5B02"/>
    <w:rsid w:val="003B6054"/>
    <w:rsid w:val="003B7B10"/>
    <w:rsid w:val="003C361C"/>
    <w:rsid w:val="003C432D"/>
    <w:rsid w:val="003C44DF"/>
    <w:rsid w:val="003C713A"/>
    <w:rsid w:val="003C7294"/>
    <w:rsid w:val="003D51E2"/>
    <w:rsid w:val="003D77CB"/>
    <w:rsid w:val="003E1649"/>
    <w:rsid w:val="003E262C"/>
    <w:rsid w:val="003E5227"/>
    <w:rsid w:val="003E5A05"/>
    <w:rsid w:val="003F0A96"/>
    <w:rsid w:val="003F17B4"/>
    <w:rsid w:val="003F4E6A"/>
    <w:rsid w:val="003F694D"/>
    <w:rsid w:val="00404359"/>
    <w:rsid w:val="004047FF"/>
    <w:rsid w:val="00406092"/>
    <w:rsid w:val="00420BFA"/>
    <w:rsid w:val="004218B0"/>
    <w:rsid w:val="0042285E"/>
    <w:rsid w:val="004261FD"/>
    <w:rsid w:val="004264D8"/>
    <w:rsid w:val="00437CFD"/>
    <w:rsid w:val="00443A6A"/>
    <w:rsid w:val="00444997"/>
    <w:rsid w:val="00445317"/>
    <w:rsid w:val="004469D9"/>
    <w:rsid w:val="00447E6E"/>
    <w:rsid w:val="00455163"/>
    <w:rsid w:val="004554C0"/>
    <w:rsid w:val="00456B59"/>
    <w:rsid w:val="00456E4A"/>
    <w:rsid w:val="00462818"/>
    <w:rsid w:val="004641DB"/>
    <w:rsid w:val="00464704"/>
    <w:rsid w:val="00464B9A"/>
    <w:rsid w:val="0047368C"/>
    <w:rsid w:val="00474303"/>
    <w:rsid w:val="0047714B"/>
    <w:rsid w:val="004828C5"/>
    <w:rsid w:val="00483A76"/>
    <w:rsid w:val="00483DFB"/>
    <w:rsid w:val="004877AA"/>
    <w:rsid w:val="004A0A43"/>
    <w:rsid w:val="004A0CDB"/>
    <w:rsid w:val="004A1D4C"/>
    <w:rsid w:val="004A2776"/>
    <w:rsid w:val="004A2D85"/>
    <w:rsid w:val="004A2F7E"/>
    <w:rsid w:val="004A70F6"/>
    <w:rsid w:val="004B44CA"/>
    <w:rsid w:val="004C0965"/>
    <w:rsid w:val="004C1500"/>
    <w:rsid w:val="004C1A8C"/>
    <w:rsid w:val="004D27F6"/>
    <w:rsid w:val="004D51AD"/>
    <w:rsid w:val="004D533A"/>
    <w:rsid w:val="004D7665"/>
    <w:rsid w:val="004D7984"/>
    <w:rsid w:val="004E146D"/>
    <w:rsid w:val="004E4743"/>
    <w:rsid w:val="004E4EDF"/>
    <w:rsid w:val="004E5F12"/>
    <w:rsid w:val="004F3B8F"/>
    <w:rsid w:val="004F5616"/>
    <w:rsid w:val="005017BB"/>
    <w:rsid w:val="00501898"/>
    <w:rsid w:val="00501A2C"/>
    <w:rsid w:val="00501AD3"/>
    <w:rsid w:val="00501DD0"/>
    <w:rsid w:val="0051253D"/>
    <w:rsid w:val="00512B9A"/>
    <w:rsid w:val="00512EA1"/>
    <w:rsid w:val="005133DC"/>
    <w:rsid w:val="0051368B"/>
    <w:rsid w:val="005140C8"/>
    <w:rsid w:val="005170D1"/>
    <w:rsid w:val="005204FD"/>
    <w:rsid w:val="00524BB3"/>
    <w:rsid w:val="00525340"/>
    <w:rsid w:val="00532230"/>
    <w:rsid w:val="00532C87"/>
    <w:rsid w:val="00541FFD"/>
    <w:rsid w:val="005422A1"/>
    <w:rsid w:val="005445E4"/>
    <w:rsid w:val="005461BC"/>
    <w:rsid w:val="00552981"/>
    <w:rsid w:val="0055555F"/>
    <w:rsid w:val="00563EE5"/>
    <w:rsid w:val="005648DA"/>
    <w:rsid w:val="00565654"/>
    <w:rsid w:val="005661EB"/>
    <w:rsid w:val="0056686E"/>
    <w:rsid w:val="00571F7B"/>
    <w:rsid w:val="00573602"/>
    <w:rsid w:val="00581F56"/>
    <w:rsid w:val="00582259"/>
    <w:rsid w:val="005829CF"/>
    <w:rsid w:val="005856FF"/>
    <w:rsid w:val="00585C4A"/>
    <w:rsid w:val="00585C81"/>
    <w:rsid w:val="00586204"/>
    <w:rsid w:val="00586500"/>
    <w:rsid w:val="00591422"/>
    <w:rsid w:val="0059462B"/>
    <w:rsid w:val="0059770D"/>
    <w:rsid w:val="005A323D"/>
    <w:rsid w:val="005A3A05"/>
    <w:rsid w:val="005A45F6"/>
    <w:rsid w:val="005A622A"/>
    <w:rsid w:val="005B3623"/>
    <w:rsid w:val="005B4F7E"/>
    <w:rsid w:val="005B6A2B"/>
    <w:rsid w:val="005B7083"/>
    <w:rsid w:val="005B7A0F"/>
    <w:rsid w:val="005C3E93"/>
    <w:rsid w:val="005C6D61"/>
    <w:rsid w:val="005D148E"/>
    <w:rsid w:val="005D278B"/>
    <w:rsid w:val="005D3C59"/>
    <w:rsid w:val="005D65C8"/>
    <w:rsid w:val="005D7759"/>
    <w:rsid w:val="005E186A"/>
    <w:rsid w:val="005E4C17"/>
    <w:rsid w:val="005F216A"/>
    <w:rsid w:val="005F2B2B"/>
    <w:rsid w:val="005F52A9"/>
    <w:rsid w:val="006009EE"/>
    <w:rsid w:val="00602440"/>
    <w:rsid w:val="006029BD"/>
    <w:rsid w:val="0060563C"/>
    <w:rsid w:val="0061041C"/>
    <w:rsid w:val="006138CB"/>
    <w:rsid w:val="006161EB"/>
    <w:rsid w:val="00621472"/>
    <w:rsid w:val="006242E3"/>
    <w:rsid w:val="00625189"/>
    <w:rsid w:val="006262FF"/>
    <w:rsid w:val="00626515"/>
    <w:rsid w:val="006303FC"/>
    <w:rsid w:val="00631A6B"/>
    <w:rsid w:val="00632B95"/>
    <w:rsid w:val="00633C0B"/>
    <w:rsid w:val="00642ACC"/>
    <w:rsid w:val="00643517"/>
    <w:rsid w:val="00643744"/>
    <w:rsid w:val="00643D73"/>
    <w:rsid w:val="00650EEF"/>
    <w:rsid w:val="0065686B"/>
    <w:rsid w:val="006568D1"/>
    <w:rsid w:val="00665DD6"/>
    <w:rsid w:val="00666E5E"/>
    <w:rsid w:val="0066786E"/>
    <w:rsid w:val="00673F91"/>
    <w:rsid w:val="006759AC"/>
    <w:rsid w:val="00676745"/>
    <w:rsid w:val="00676BEB"/>
    <w:rsid w:val="00680257"/>
    <w:rsid w:val="00680E8D"/>
    <w:rsid w:val="00682C83"/>
    <w:rsid w:val="006840A0"/>
    <w:rsid w:val="0068615D"/>
    <w:rsid w:val="00687A93"/>
    <w:rsid w:val="006915BE"/>
    <w:rsid w:val="0069473F"/>
    <w:rsid w:val="00694C0D"/>
    <w:rsid w:val="00695363"/>
    <w:rsid w:val="00697B45"/>
    <w:rsid w:val="00697F46"/>
    <w:rsid w:val="006A1FD6"/>
    <w:rsid w:val="006A4AB6"/>
    <w:rsid w:val="006A7730"/>
    <w:rsid w:val="006B17A0"/>
    <w:rsid w:val="006B36DF"/>
    <w:rsid w:val="006B3B3F"/>
    <w:rsid w:val="006C2442"/>
    <w:rsid w:val="006C26B0"/>
    <w:rsid w:val="006C2B17"/>
    <w:rsid w:val="006C2B9B"/>
    <w:rsid w:val="006C307A"/>
    <w:rsid w:val="006C6D6A"/>
    <w:rsid w:val="006C6EE0"/>
    <w:rsid w:val="006D2C13"/>
    <w:rsid w:val="006E1B7F"/>
    <w:rsid w:val="006E3719"/>
    <w:rsid w:val="006F02F4"/>
    <w:rsid w:val="006F0AC8"/>
    <w:rsid w:val="006F3800"/>
    <w:rsid w:val="006F4308"/>
    <w:rsid w:val="006F4982"/>
    <w:rsid w:val="006F509B"/>
    <w:rsid w:val="006F6171"/>
    <w:rsid w:val="006F6193"/>
    <w:rsid w:val="00701F6F"/>
    <w:rsid w:val="007028FC"/>
    <w:rsid w:val="00713ADA"/>
    <w:rsid w:val="0071473B"/>
    <w:rsid w:val="0071779A"/>
    <w:rsid w:val="007209A6"/>
    <w:rsid w:val="00725CB1"/>
    <w:rsid w:val="007262DA"/>
    <w:rsid w:val="00726483"/>
    <w:rsid w:val="007313BD"/>
    <w:rsid w:val="00735914"/>
    <w:rsid w:val="00737010"/>
    <w:rsid w:val="0073709A"/>
    <w:rsid w:val="00737329"/>
    <w:rsid w:val="00740287"/>
    <w:rsid w:val="00740995"/>
    <w:rsid w:val="00741D0E"/>
    <w:rsid w:val="0074298A"/>
    <w:rsid w:val="00743A6D"/>
    <w:rsid w:val="007555A1"/>
    <w:rsid w:val="00757F60"/>
    <w:rsid w:val="00761986"/>
    <w:rsid w:val="00762E58"/>
    <w:rsid w:val="00767593"/>
    <w:rsid w:val="00770725"/>
    <w:rsid w:val="007707F7"/>
    <w:rsid w:val="007756B1"/>
    <w:rsid w:val="00775BE6"/>
    <w:rsid w:val="00780732"/>
    <w:rsid w:val="00781C38"/>
    <w:rsid w:val="00790E7D"/>
    <w:rsid w:val="00791884"/>
    <w:rsid w:val="00793172"/>
    <w:rsid w:val="007944D4"/>
    <w:rsid w:val="00794A07"/>
    <w:rsid w:val="00795872"/>
    <w:rsid w:val="007A0026"/>
    <w:rsid w:val="007B02C1"/>
    <w:rsid w:val="007B20CB"/>
    <w:rsid w:val="007B7C6B"/>
    <w:rsid w:val="007C5587"/>
    <w:rsid w:val="007C5C64"/>
    <w:rsid w:val="007C6751"/>
    <w:rsid w:val="007C78AF"/>
    <w:rsid w:val="007D46F6"/>
    <w:rsid w:val="007D78EE"/>
    <w:rsid w:val="007E4087"/>
    <w:rsid w:val="007E7312"/>
    <w:rsid w:val="007E7338"/>
    <w:rsid w:val="007F315F"/>
    <w:rsid w:val="007F4454"/>
    <w:rsid w:val="008029AB"/>
    <w:rsid w:val="0080333A"/>
    <w:rsid w:val="00804630"/>
    <w:rsid w:val="00811FAB"/>
    <w:rsid w:val="00812810"/>
    <w:rsid w:val="008151FB"/>
    <w:rsid w:val="00815338"/>
    <w:rsid w:val="00820AE7"/>
    <w:rsid w:val="00821DA2"/>
    <w:rsid w:val="00822DD1"/>
    <w:rsid w:val="0082338D"/>
    <w:rsid w:val="00823A1B"/>
    <w:rsid w:val="008242E9"/>
    <w:rsid w:val="008356C5"/>
    <w:rsid w:val="00837846"/>
    <w:rsid w:val="00841E96"/>
    <w:rsid w:val="00841F83"/>
    <w:rsid w:val="00842E8E"/>
    <w:rsid w:val="00844392"/>
    <w:rsid w:val="00845413"/>
    <w:rsid w:val="00845C27"/>
    <w:rsid w:val="0084740F"/>
    <w:rsid w:val="00851771"/>
    <w:rsid w:val="008518B0"/>
    <w:rsid w:val="00852FA5"/>
    <w:rsid w:val="008546E9"/>
    <w:rsid w:val="0085685C"/>
    <w:rsid w:val="00856E7E"/>
    <w:rsid w:val="00864577"/>
    <w:rsid w:val="00873EE5"/>
    <w:rsid w:val="00874560"/>
    <w:rsid w:val="008763E4"/>
    <w:rsid w:val="00876CFD"/>
    <w:rsid w:val="008774A4"/>
    <w:rsid w:val="00881511"/>
    <w:rsid w:val="00884BAE"/>
    <w:rsid w:val="008854CF"/>
    <w:rsid w:val="0089376E"/>
    <w:rsid w:val="008A1EAE"/>
    <w:rsid w:val="008A6FB4"/>
    <w:rsid w:val="008B03F8"/>
    <w:rsid w:val="008B4304"/>
    <w:rsid w:val="008B68D6"/>
    <w:rsid w:val="008C15F2"/>
    <w:rsid w:val="008D126D"/>
    <w:rsid w:val="008D1CC9"/>
    <w:rsid w:val="008D2625"/>
    <w:rsid w:val="008D751B"/>
    <w:rsid w:val="008E1951"/>
    <w:rsid w:val="008E27AD"/>
    <w:rsid w:val="008E586C"/>
    <w:rsid w:val="008F016F"/>
    <w:rsid w:val="008F02CA"/>
    <w:rsid w:val="008F15D7"/>
    <w:rsid w:val="008F247F"/>
    <w:rsid w:val="008F257A"/>
    <w:rsid w:val="008F58B5"/>
    <w:rsid w:val="008F6012"/>
    <w:rsid w:val="008F7559"/>
    <w:rsid w:val="00900256"/>
    <w:rsid w:val="00900D7E"/>
    <w:rsid w:val="009106E2"/>
    <w:rsid w:val="00910FCA"/>
    <w:rsid w:val="0091250D"/>
    <w:rsid w:val="00912A8D"/>
    <w:rsid w:val="00917A50"/>
    <w:rsid w:val="00920EB6"/>
    <w:rsid w:val="00921725"/>
    <w:rsid w:val="0092184C"/>
    <w:rsid w:val="00926A9B"/>
    <w:rsid w:val="00930EA5"/>
    <w:rsid w:val="00937518"/>
    <w:rsid w:val="009409C7"/>
    <w:rsid w:val="00945002"/>
    <w:rsid w:val="0095122F"/>
    <w:rsid w:val="009540AE"/>
    <w:rsid w:val="009558BF"/>
    <w:rsid w:val="0096214A"/>
    <w:rsid w:val="0096478F"/>
    <w:rsid w:val="00965EF0"/>
    <w:rsid w:val="00973CAC"/>
    <w:rsid w:val="009918ED"/>
    <w:rsid w:val="009960C6"/>
    <w:rsid w:val="009A0DE1"/>
    <w:rsid w:val="009A0E5E"/>
    <w:rsid w:val="009A265D"/>
    <w:rsid w:val="009B194A"/>
    <w:rsid w:val="009C3D93"/>
    <w:rsid w:val="009D044E"/>
    <w:rsid w:val="009D3FD8"/>
    <w:rsid w:val="009E1ACD"/>
    <w:rsid w:val="009E25DF"/>
    <w:rsid w:val="009E2C88"/>
    <w:rsid w:val="009E2D07"/>
    <w:rsid w:val="009E5BC9"/>
    <w:rsid w:val="009E786F"/>
    <w:rsid w:val="009F39B6"/>
    <w:rsid w:val="009F4F0D"/>
    <w:rsid w:val="009F70D4"/>
    <w:rsid w:val="00A00A92"/>
    <w:rsid w:val="00A03EBA"/>
    <w:rsid w:val="00A056C1"/>
    <w:rsid w:val="00A11D76"/>
    <w:rsid w:val="00A11ED2"/>
    <w:rsid w:val="00A12B65"/>
    <w:rsid w:val="00A1300B"/>
    <w:rsid w:val="00A16535"/>
    <w:rsid w:val="00A20264"/>
    <w:rsid w:val="00A22A13"/>
    <w:rsid w:val="00A22E46"/>
    <w:rsid w:val="00A24FA9"/>
    <w:rsid w:val="00A25014"/>
    <w:rsid w:val="00A27472"/>
    <w:rsid w:val="00A34853"/>
    <w:rsid w:val="00A364FB"/>
    <w:rsid w:val="00A37B44"/>
    <w:rsid w:val="00A40F0C"/>
    <w:rsid w:val="00A41BDB"/>
    <w:rsid w:val="00A42690"/>
    <w:rsid w:val="00A43112"/>
    <w:rsid w:val="00A4543F"/>
    <w:rsid w:val="00A53D83"/>
    <w:rsid w:val="00A576B9"/>
    <w:rsid w:val="00A67DAB"/>
    <w:rsid w:val="00A7068A"/>
    <w:rsid w:val="00A764DC"/>
    <w:rsid w:val="00A77D3A"/>
    <w:rsid w:val="00A828C4"/>
    <w:rsid w:val="00A85578"/>
    <w:rsid w:val="00A87BFA"/>
    <w:rsid w:val="00A91E74"/>
    <w:rsid w:val="00A93205"/>
    <w:rsid w:val="00A96650"/>
    <w:rsid w:val="00AA1246"/>
    <w:rsid w:val="00AA4890"/>
    <w:rsid w:val="00AA5DAE"/>
    <w:rsid w:val="00AB06E8"/>
    <w:rsid w:val="00AB5D32"/>
    <w:rsid w:val="00AB5F0E"/>
    <w:rsid w:val="00AC492D"/>
    <w:rsid w:val="00AC73AA"/>
    <w:rsid w:val="00AD413E"/>
    <w:rsid w:val="00AF29F6"/>
    <w:rsid w:val="00AF422E"/>
    <w:rsid w:val="00AF4711"/>
    <w:rsid w:val="00AF52C8"/>
    <w:rsid w:val="00AF5BF2"/>
    <w:rsid w:val="00AF5C43"/>
    <w:rsid w:val="00AF6A5A"/>
    <w:rsid w:val="00AF6D54"/>
    <w:rsid w:val="00B00F6C"/>
    <w:rsid w:val="00B021ED"/>
    <w:rsid w:val="00B02844"/>
    <w:rsid w:val="00B03A35"/>
    <w:rsid w:val="00B0471E"/>
    <w:rsid w:val="00B056AF"/>
    <w:rsid w:val="00B15B5A"/>
    <w:rsid w:val="00B209E3"/>
    <w:rsid w:val="00B22B8F"/>
    <w:rsid w:val="00B232DA"/>
    <w:rsid w:val="00B23BA6"/>
    <w:rsid w:val="00B24E31"/>
    <w:rsid w:val="00B257F1"/>
    <w:rsid w:val="00B26DC2"/>
    <w:rsid w:val="00B30A67"/>
    <w:rsid w:val="00B31E00"/>
    <w:rsid w:val="00B373E9"/>
    <w:rsid w:val="00B425DB"/>
    <w:rsid w:val="00B56B41"/>
    <w:rsid w:val="00B661A1"/>
    <w:rsid w:val="00B66B56"/>
    <w:rsid w:val="00B7046A"/>
    <w:rsid w:val="00B74479"/>
    <w:rsid w:val="00B7769D"/>
    <w:rsid w:val="00B827E7"/>
    <w:rsid w:val="00B828B7"/>
    <w:rsid w:val="00B85404"/>
    <w:rsid w:val="00B96C60"/>
    <w:rsid w:val="00B9708A"/>
    <w:rsid w:val="00B97A84"/>
    <w:rsid w:val="00BA069B"/>
    <w:rsid w:val="00BA0BF9"/>
    <w:rsid w:val="00BA184C"/>
    <w:rsid w:val="00BA1C33"/>
    <w:rsid w:val="00BA72AB"/>
    <w:rsid w:val="00BB3202"/>
    <w:rsid w:val="00BB376A"/>
    <w:rsid w:val="00BB3E7D"/>
    <w:rsid w:val="00BB5F03"/>
    <w:rsid w:val="00BB63F5"/>
    <w:rsid w:val="00BB66FE"/>
    <w:rsid w:val="00BB6E11"/>
    <w:rsid w:val="00BC33F0"/>
    <w:rsid w:val="00BC755A"/>
    <w:rsid w:val="00BC7BB0"/>
    <w:rsid w:val="00BD0C39"/>
    <w:rsid w:val="00BD268E"/>
    <w:rsid w:val="00BE02BD"/>
    <w:rsid w:val="00BE159F"/>
    <w:rsid w:val="00BF0A6C"/>
    <w:rsid w:val="00BF548C"/>
    <w:rsid w:val="00BF624B"/>
    <w:rsid w:val="00BF7C5D"/>
    <w:rsid w:val="00C00F32"/>
    <w:rsid w:val="00C02FA2"/>
    <w:rsid w:val="00C03050"/>
    <w:rsid w:val="00C03DA5"/>
    <w:rsid w:val="00C044D9"/>
    <w:rsid w:val="00C06896"/>
    <w:rsid w:val="00C06CF3"/>
    <w:rsid w:val="00C10C44"/>
    <w:rsid w:val="00C10F14"/>
    <w:rsid w:val="00C12CE4"/>
    <w:rsid w:val="00C13044"/>
    <w:rsid w:val="00C15207"/>
    <w:rsid w:val="00C235E0"/>
    <w:rsid w:val="00C3057F"/>
    <w:rsid w:val="00C31A64"/>
    <w:rsid w:val="00C346AA"/>
    <w:rsid w:val="00C347F8"/>
    <w:rsid w:val="00C4056F"/>
    <w:rsid w:val="00C4116F"/>
    <w:rsid w:val="00C4130F"/>
    <w:rsid w:val="00C41A60"/>
    <w:rsid w:val="00C5166A"/>
    <w:rsid w:val="00C52ECA"/>
    <w:rsid w:val="00C56DE7"/>
    <w:rsid w:val="00C57895"/>
    <w:rsid w:val="00C60A09"/>
    <w:rsid w:val="00C62D7A"/>
    <w:rsid w:val="00C64F6B"/>
    <w:rsid w:val="00C6658E"/>
    <w:rsid w:val="00C66B09"/>
    <w:rsid w:val="00C72C65"/>
    <w:rsid w:val="00C74129"/>
    <w:rsid w:val="00C76BDB"/>
    <w:rsid w:val="00C77653"/>
    <w:rsid w:val="00C776AA"/>
    <w:rsid w:val="00C77C23"/>
    <w:rsid w:val="00C81913"/>
    <w:rsid w:val="00C85527"/>
    <w:rsid w:val="00C966AE"/>
    <w:rsid w:val="00C96FD9"/>
    <w:rsid w:val="00C97684"/>
    <w:rsid w:val="00CA60EA"/>
    <w:rsid w:val="00CA67AC"/>
    <w:rsid w:val="00CA7017"/>
    <w:rsid w:val="00CB4EB9"/>
    <w:rsid w:val="00CB6530"/>
    <w:rsid w:val="00CC76F7"/>
    <w:rsid w:val="00CD2B3C"/>
    <w:rsid w:val="00CD4054"/>
    <w:rsid w:val="00CD4C44"/>
    <w:rsid w:val="00CD643C"/>
    <w:rsid w:val="00CE199B"/>
    <w:rsid w:val="00CE2A63"/>
    <w:rsid w:val="00CE36E3"/>
    <w:rsid w:val="00CF24DE"/>
    <w:rsid w:val="00CF28AE"/>
    <w:rsid w:val="00CF5881"/>
    <w:rsid w:val="00CF66D1"/>
    <w:rsid w:val="00D005FE"/>
    <w:rsid w:val="00D019EE"/>
    <w:rsid w:val="00D0413D"/>
    <w:rsid w:val="00D06F8C"/>
    <w:rsid w:val="00D109B3"/>
    <w:rsid w:val="00D1273D"/>
    <w:rsid w:val="00D147AF"/>
    <w:rsid w:val="00D1570B"/>
    <w:rsid w:val="00D165DC"/>
    <w:rsid w:val="00D17A26"/>
    <w:rsid w:val="00D2140A"/>
    <w:rsid w:val="00D22EDE"/>
    <w:rsid w:val="00D234AF"/>
    <w:rsid w:val="00D251D7"/>
    <w:rsid w:val="00D31BE5"/>
    <w:rsid w:val="00D31D13"/>
    <w:rsid w:val="00D35470"/>
    <w:rsid w:val="00D4005D"/>
    <w:rsid w:val="00D479E8"/>
    <w:rsid w:val="00D524D0"/>
    <w:rsid w:val="00D526DB"/>
    <w:rsid w:val="00D53D36"/>
    <w:rsid w:val="00D56F3A"/>
    <w:rsid w:val="00D61089"/>
    <w:rsid w:val="00D7174E"/>
    <w:rsid w:val="00D71CCA"/>
    <w:rsid w:val="00D72942"/>
    <w:rsid w:val="00D8153C"/>
    <w:rsid w:val="00D815F6"/>
    <w:rsid w:val="00D83F78"/>
    <w:rsid w:val="00D92453"/>
    <w:rsid w:val="00D94299"/>
    <w:rsid w:val="00DA1093"/>
    <w:rsid w:val="00DA1BA9"/>
    <w:rsid w:val="00DA417E"/>
    <w:rsid w:val="00DA44BE"/>
    <w:rsid w:val="00DA4959"/>
    <w:rsid w:val="00DA4C6C"/>
    <w:rsid w:val="00DB66D8"/>
    <w:rsid w:val="00DC1B07"/>
    <w:rsid w:val="00DC3659"/>
    <w:rsid w:val="00DD171B"/>
    <w:rsid w:val="00DD2C2A"/>
    <w:rsid w:val="00DD321D"/>
    <w:rsid w:val="00DD397E"/>
    <w:rsid w:val="00DD3BDC"/>
    <w:rsid w:val="00DD4726"/>
    <w:rsid w:val="00DD605F"/>
    <w:rsid w:val="00DD7FF1"/>
    <w:rsid w:val="00DE1765"/>
    <w:rsid w:val="00DE4E2C"/>
    <w:rsid w:val="00E02337"/>
    <w:rsid w:val="00E0309C"/>
    <w:rsid w:val="00E0372D"/>
    <w:rsid w:val="00E060B6"/>
    <w:rsid w:val="00E0736C"/>
    <w:rsid w:val="00E11B7D"/>
    <w:rsid w:val="00E1408A"/>
    <w:rsid w:val="00E161DA"/>
    <w:rsid w:val="00E1785F"/>
    <w:rsid w:val="00E20747"/>
    <w:rsid w:val="00E22E9B"/>
    <w:rsid w:val="00E23202"/>
    <w:rsid w:val="00E240FC"/>
    <w:rsid w:val="00E260FD"/>
    <w:rsid w:val="00E26849"/>
    <w:rsid w:val="00E26D54"/>
    <w:rsid w:val="00E275FA"/>
    <w:rsid w:val="00E3221B"/>
    <w:rsid w:val="00E343DB"/>
    <w:rsid w:val="00E357E4"/>
    <w:rsid w:val="00E36440"/>
    <w:rsid w:val="00E416C7"/>
    <w:rsid w:val="00E41977"/>
    <w:rsid w:val="00E44317"/>
    <w:rsid w:val="00E46EBA"/>
    <w:rsid w:val="00E54BC6"/>
    <w:rsid w:val="00E56C6A"/>
    <w:rsid w:val="00E61C07"/>
    <w:rsid w:val="00E631F4"/>
    <w:rsid w:val="00E6553D"/>
    <w:rsid w:val="00E70489"/>
    <w:rsid w:val="00E70DF5"/>
    <w:rsid w:val="00E74FE0"/>
    <w:rsid w:val="00E766B7"/>
    <w:rsid w:val="00E77B8F"/>
    <w:rsid w:val="00E80B63"/>
    <w:rsid w:val="00E817C9"/>
    <w:rsid w:val="00E87F40"/>
    <w:rsid w:val="00E93292"/>
    <w:rsid w:val="00E96405"/>
    <w:rsid w:val="00E96826"/>
    <w:rsid w:val="00E9704E"/>
    <w:rsid w:val="00E97683"/>
    <w:rsid w:val="00EA0660"/>
    <w:rsid w:val="00EB0D7A"/>
    <w:rsid w:val="00EB1C0F"/>
    <w:rsid w:val="00EB7E34"/>
    <w:rsid w:val="00EC0835"/>
    <w:rsid w:val="00EC1DA0"/>
    <w:rsid w:val="00EC2693"/>
    <w:rsid w:val="00EC2867"/>
    <w:rsid w:val="00EC58C5"/>
    <w:rsid w:val="00EC71B9"/>
    <w:rsid w:val="00EC753B"/>
    <w:rsid w:val="00EC7AFE"/>
    <w:rsid w:val="00ED1671"/>
    <w:rsid w:val="00EE4183"/>
    <w:rsid w:val="00EF16C8"/>
    <w:rsid w:val="00EF3739"/>
    <w:rsid w:val="00F01E4C"/>
    <w:rsid w:val="00F03F25"/>
    <w:rsid w:val="00F042AA"/>
    <w:rsid w:val="00F0484D"/>
    <w:rsid w:val="00F114BD"/>
    <w:rsid w:val="00F1294E"/>
    <w:rsid w:val="00F14554"/>
    <w:rsid w:val="00F23ACA"/>
    <w:rsid w:val="00F26254"/>
    <w:rsid w:val="00F3548A"/>
    <w:rsid w:val="00F35D3B"/>
    <w:rsid w:val="00F37912"/>
    <w:rsid w:val="00F403BD"/>
    <w:rsid w:val="00F403E4"/>
    <w:rsid w:val="00F41AD4"/>
    <w:rsid w:val="00F43B91"/>
    <w:rsid w:val="00F445DF"/>
    <w:rsid w:val="00F53D8A"/>
    <w:rsid w:val="00F53FE0"/>
    <w:rsid w:val="00F5409F"/>
    <w:rsid w:val="00F5538D"/>
    <w:rsid w:val="00F55522"/>
    <w:rsid w:val="00F55D2E"/>
    <w:rsid w:val="00F578F1"/>
    <w:rsid w:val="00F607AD"/>
    <w:rsid w:val="00F60ACD"/>
    <w:rsid w:val="00F70209"/>
    <w:rsid w:val="00F71DB8"/>
    <w:rsid w:val="00F72A0E"/>
    <w:rsid w:val="00F73A1D"/>
    <w:rsid w:val="00F7520F"/>
    <w:rsid w:val="00F7660D"/>
    <w:rsid w:val="00F80516"/>
    <w:rsid w:val="00F8080A"/>
    <w:rsid w:val="00F82AE2"/>
    <w:rsid w:val="00F85060"/>
    <w:rsid w:val="00F87F91"/>
    <w:rsid w:val="00F9151D"/>
    <w:rsid w:val="00F95EAD"/>
    <w:rsid w:val="00F97A2B"/>
    <w:rsid w:val="00FA17C5"/>
    <w:rsid w:val="00FB095F"/>
    <w:rsid w:val="00FB1B61"/>
    <w:rsid w:val="00FB2320"/>
    <w:rsid w:val="00FB5989"/>
    <w:rsid w:val="00FB69CA"/>
    <w:rsid w:val="00FC2D70"/>
    <w:rsid w:val="00FC32F0"/>
    <w:rsid w:val="00FC57CE"/>
    <w:rsid w:val="00FD42F3"/>
    <w:rsid w:val="00FE4E31"/>
    <w:rsid w:val="00FE5F06"/>
    <w:rsid w:val="00FF18A9"/>
    <w:rsid w:val="00FF2F51"/>
    <w:rsid w:val="00FF31CD"/>
    <w:rsid w:val="00FF3848"/>
    <w:rsid w:val="00FF456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DC9F9"/>
  <w15:docId w15:val="{F47B8823-8CD1-436F-B61C-50F96C9C5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aliases w:val="APA6"/>
    <w:qFormat/>
    <w:rsid w:val="00455163"/>
    <w:pPr>
      <w:spacing w:before="240" w:line="480" w:lineRule="auto"/>
      <w:ind w:firstLine="284"/>
    </w:pPr>
    <w:rPr>
      <w:sz w:val="24"/>
      <w:lang w:val="es-ES"/>
    </w:rPr>
  </w:style>
  <w:style w:type="paragraph" w:styleId="Ttulo1">
    <w:name w:val="heading 1"/>
    <w:basedOn w:val="Normal"/>
    <w:next w:val="Normal"/>
    <w:link w:val="Ttulo1Car"/>
    <w:qFormat/>
    <w:rsid w:val="009D3FD8"/>
    <w:pPr>
      <w:keepNext/>
      <w:pageBreakBefore/>
      <w:numPr>
        <w:numId w:val="25"/>
      </w:numPr>
      <w:spacing w:before="600" w:after="360"/>
      <w:jc w:val="center"/>
      <w:outlineLvl w:val="0"/>
    </w:pPr>
    <w:rPr>
      <w:b/>
      <w:caps/>
      <w:sz w:val="28"/>
      <w:szCs w:val="28"/>
    </w:rPr>
  </w:style>
  <w:style w:type="paragraph" w:styleId="Ttulo2">
    <w:name w:val="heading 2"/>
    <w:basedOn w:val="Normal"/>
    <w:next w:val="Normal"/>
    <w:qFormat/>
    <w:rsid w:val="009D3FD8"/>
    <w:pPr>
      <w:keepNext/>
      <w:widowControl w:val="0"/>
      <w:numPr>
        <w:ilvl w:val="1"/>
        <w:numId w:val="25"/>
      </w:numPr>
      <w:spacing w:before="480"/>
      <w:outlineLvl w:val="1"/>
    </w:pPr>
    <w:rPr>
      <w:b/>
      <w:caps/>
      <w:snapToGrid w:val="0"/>
      <w:szCs w:val="24"/>
      <w:lang w:eastAsia="es-ES"/>
    </w:rPr>
  </w:style>
  <w:style w:type="paragraph" w:styleId="Ttulo3">
    <w:name w:val="heading 3"/>
    <w:basedOn w:val="Normal"/>
    <w:next w:val="Normal"/>
    <w:qFormat/>
    <w:rsid w:val="009D3FD8"/>
    <w:pPr>
      <w:keepNext/>
      <w:widowControl w:val="0"/>
      <w:numPr>
        <w:ilvl w:val="2"/>
        <w:numId w:val="25"/>
      </w:numPr>
      <w:outlineLvl w:val="2"/>
    </w:pPr>
    <w:rPr>
      <w:b/>
      <w:snapToGrid w:val="0"/>
      <w:lang w:eastAsia="es-ES"/>
    </w:rPr>
  </w:style>
  <w:style w:type="paragraph" w:styleId="Ttulo4">
    <w:name w:val="heading 4"/>
    <w:basedOn w:val="Normal"/>
    <w:next w:val="Normal"/>
    <w:qFormat/>
    <w:rsid w:val="009D3FD8"/>
    <w:pPr>
      <w:keepNext/>
      <w:numPr>
        <w:ilvl w:val="3"/>
        <w:numId w:val="25"/>
      </w:numPr>
      <w:jc w:val="center"/>
      <w:outlineLvl w:val="3"/>
    </w:pPr>
    <w:rPr>
      <w:b/>
      <w:lang w:val="es-ES_tradnl"/>
    </w:rPr>
  </w:style>
  <w:style w:type="paragraph" w:styleId="Ttulo5">
    <w:name w:val="heading 5"/>
    <w:basedOn w:val="Normal"/>
    <w:next w:val="Normal"/>
    <w:qFormat/>
    <w:rsid w:val="009D3FD8"/>
    <w:pPr>
      <w:keepNext/>
      <w:numPr>
        <w:ilvl w:val="4"/>
        <w:numId w:val="25"/>
      </w:numPr>
      <w:pBdr>
        <w:top w:val="single" w:sz="6" w:space="1" w:color="auto"/>
        <w:left w:val="single" w:sz="6" w:space="1" w:color="auto"/>
        <w:bottom w:val="single" w:sz="6" w:space="1" w:color="auto"/>
        <w:right w:val="single" w:sz="6" w:space="1" w:color="auto"/>
      </w:pBdr>
      <w:outlineLvl w:val="4"/>
    </w:pPr>
    <w:rPr>
      <w:b/>
      <w:color w:val="0000FF"/>
      <w:sz w:val="28"/>
      <w:lang w:val="es-ES_tradnl"/>
    </w:rPr>
  </w:style>
  <w:style w:type="paragraph" w:styleId="Ttulo6">
    <w:name w:val="heading 6"/>
    <w:basedOn w:val="Normal"/>
    <w:next w:val="Normal"/>
    <w:qFormat/>
    <w:rsid w:val="009D3FD8"/>
    <w:pPr>
      <w:keepNext/>
      <w:numPr>
        <w:ilvl w:val="5"/>
        <w:numId w:val="25"/>
      </w:numPr>
      <w:pBdr>
        <w:top w:val="single" w:sz="6" w:space="1" w:color="auto"/>
        <w:left w:val="single" w:sz="6" w:space="1" w:color="auto"/>
        <w:bottom w:val="single" w:sz="6" w:space="1" w:color="auto"/>
        <w:right w:val="single" w:sz="6" w:space="1" w:color="auto"/>
      </w:pBdr>
      <w:outlineLvl w:val="5"/>
    </w:pPr>
    <w:rPr>
      <w:b/>
      <w:color w:val="0000FF"/>
      <w:sz w:val="36"/>
      <w:lang w:val="es-ES_tradnl"/>
    </w:rPr>
  </w:style>
  <w:style w:type="paragraph" w:styleId="Ttulo7">
    <w:name w:val="heading 7"/>
    <w:basedOn w:val="Normal"/>
    <w:next w:val="Normal"/>
    <w:qFormat/>
    <w:rsid w:val="009D3FD8"/>
    <w:pPr>
      <w:keepNext/>
      <w:numPr>
        <w:ilvl w:val="6"/>
        <w:numId w:val="25"/>
      </w:numPr>
      <w:pBdr>
        <w:top w:val="single" w:sz="6" w:space="1" w:color="auto"/>
        <w:left w:val="single" w:sz="6" w:space="1" w:color="auto"/>
        <w:bottom w:val="single" w:sz="6" w:space="1" w:color="auto"/>
        <w:right w:val="single" w:sz="6" w:space="1" w:color="auto"/>
      </w:pBdr>
      <w:outlineLvl w:val="6"/>
    </w:pPr>
    <w:rPr>
      <w:b/>
      <w:color w:val="0000FF"/>
      <w:sz w:val="28"/>
      <w:lang w:val="es-ES_tradnl"/>
    </w:rPr>
  </w:style>
  <w:style w:type="paragraph" w:styleId="Ttulo8">
    <w:name w:val="heading 8"/>
    <w:basedOn w:val="Normal"/>
    <w:next w:val="Normal"/>
    <w:qFormat/>
    <w:rsid w:val="009D3FD8"/>
    <w:pPr>
      <w:keepNext/>
      <w:widowControl w:val="0"/>
      <w:numPr>
        <w:ilvl w:val="7"/>
        <w:numId w:val="25"/>
      </w:numPr>
      <w:jc w:val="center"/>
      <w:outlineLvl w:val="7"/>
    </w:pPr>
    <w:rPr>
      <w:b/>
      <w:snapToGrid w:val="0"/>
      <w:color w:val="0000FF"/>
      <w:sz w:val="28"/>
      <w:lang w:val="es-ES_tradnl" w:eastAsia="es-ES"/>
    </w:rPr>
  </w:style>
  <w:style w:type="paragraph" w:styleId="Ttulo9">
    <w:name w:val="heading 9"/>
    <w:basedOn w:val="Normal"/>
    <w:next w:val="Normal"/>
    <w:qFormat/>
    <w:rsid w:val="009D3FD8"/>
    <w:pPr>
      <w:keepNext/>
      <w:widowControl w:val="0"/>
      <w:numPr>
        <w:ilvl w:val="8"/>
        <w:numId w:val="25"/>
      </w:numPr>
      <w:jc w:val="center"/>
      <w:outlineLvl w:val="8"/>
    </w:pPr>
    <w:rPr>
      <w:b/>
      <w:snapToGrid w:val="0"/>
      <w:color w:val="0000FF"/>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rsid w:val="008029AB"/>
    <w:pPr>
      <w:tabs>
        <w:tab w:val="center" w:pos="4252"/>
        <w:tab w:val="right" w:pos="8504"/>
      </w:tabs>
    </w:pPr>
    <w:rPr>
      <w:rFonts w:ascii="Verdana" w:hAnsi="Verdana"/>
      <w:lang w:val="es-ES_tradnl"/>
    </w:rPr>
  </w:style>
  <w:style w:type="paragraph" w:styleId="Textoindependiente2">
    <w:name w:val="Body Text 2"/>
    <w:basedOn w:val="Normal"/>
    <w:pPr>
      <w:numPr>
        <w:ilvl w:val="12"/>
      </w:numPr>
      <w:ind w:firstLine="284"/>
    </w:pPr>
    <w:rPr>
      <w:color w:val="0000FF"/>
      <w:lang w:val="es-ES_tradnl"/>
    </w:rPr>
  </w:style>
  <w:style w:type="paragraph" w:styleId="Textoindependiente3">
    <w:name w:val="Body Text 3"/>
    <w:basedOn w:val="Normal"/>
    <w:pPr>
      <w:numPr>
        <w:ilvl w:val="12"/>
      </w:numPr>
      <w:pBdr>
        <w:top w:val="single" w:sz="6" w:space="1" w:color="auto"/>
        <w:left w:val="single" w:sz="6" w:space="1" w:color="auto"/>
        <w:bottom w:val="single" w:sz="6" w:space="1" w:color="auto"/>
        <w:right w:val="single" w:sz="6" w:space="1" w:color="auto"/>
      </w:pBdr>
      <w:ind w:firstLine="284"/>
    </w:pPr>
    <w:rPr>
      <w:i/>
      <w:color w:val="0000FF"/>
      <w:lang w:val="es-ES_tradnl"/>
    </w:rPr>
  </w:style>
  <w:style w:type="character" w:styleId="Nmerodepgina">
    <w:name w:val="page number"/>
    <w:rsid w:val="000B39D7"/>
    <w:rPr>
      <w:rFonts w:ascii="Arial" w:hAnsi="Arial"/>
      <w:sz w:val="20"/>
    </w:rPr>
  </w:style>
  <w:style w:type="paragraph" w:styleId="Textoindependiente">
    <w:name w:val="Body Text"/>
    <w:basedOn w:val="Normal"/>
  </w:style>
  <w:style w:type="paragraph" w:styleId="Ttulo">
    <w:name w:val="Title"/>
    <w:basedOn w:val="Normal"/>
    <w:qFormat/>
    <w:rsid w:val="00F73A1D"/>
    <w:pPr>
      <w:spacing w:before="60" w:after="60"/>
      <w:jc w:val="center"/>
    </w:pPr>
    <w:rPr>
      <w:b/>
      <w:i/>
      <w:smallCaps/>
      <w:sz w:val="32"/>
      <w:szCs w:val="32"/>
      <w:lang w:val="es-ES_tradnl"/>
    </w:rPr>
  </w:style>
  <w:style w:type="paragraph" w:styleId="Mapadeldocumento">
    <w:name w:val="Document Map"/>
    <w:basedOn w:val="Normal"/>
    <w:semiHidden/>
    <w:pPr>
      <w:shd w:val="clear" w:color="auto" w:fill="000080"/>
    </w:pPr>
    <w:rPr>
      <w:rFonts w:ascii="Tahoma" w:hAnsi="Tahoma"/>
    </w:rPr>
  </w:style>
  <w:style w:type="paragraph" w:styleId="Encabezado">
    <w:name w:val="header"/>
    <w:basedOn w:val="Normal"/>
    <w:link w:val="EncabezadoCar"/>
    <w:uiPriority w:val="99"/>
    <w:rsid w:val="008029AB"/>
    <w:pPr>
      <w:tabs>
        <w:tab w:val="center" w:pos="4252"/>
        <w:tab w:val="right" w:pos="8504"/>
      </w:tabs>
    </w:pPr>
    <w:rPr>
      <w:sz w:val="20"/>
    </w:rPr>
  </w:style>
  <w:style w:type="paragraph" w:styleId="Textonotapie">
    <w:name w:val="footnote text"/>
    <w:basedOn w:val="Normal"/>
    <w:semiHidden/>
  </w:style>
  <w:style w:type="character" w:styleId="Refdenotaalpie">
    <w:name w:val="footnote reference"/>
    <w:semiHidden/>
    <w:rPr>
      <w:vertAlign w:val="superscript"/>
    </w:rPr>
  </w:style>
  <w:style w:type="paragraph" w:styleId="Sangradetextonormal">
    <w:name w:val="Body Text Indent"/>
    <w:aliases w:val="Sangría de t. independiente"/>
    <w:basedOn w:val="Normal"/>
    <w:pPr>
      <w:pBdr>
        <w:top w:val="single" w:sz="6" w:space="1" w:color="auto"/>
        <w:left w:val="single" w:sz="6" w:space="1" w:color="auto"/>
        <w:bottom w:val="single" w:sz="6" w:space="0" w:color="auto"/>
        <w:right w:val="single" w:sz="6" w:space="0" w:color="auto"/>
      </w:pBdr>
      <w:ind w:right="165" w:firstLine="480"/>
      <w:outlineLvl w:val="0"/>
    </w:pPr>
  </w:style>
  <w:style w:type="paragraph" w:styleId="Textodebloque">
    <w:name w:val="Block Text"/>
    <w:basedOn w:val="Normal"/>
    <w:pPr>
      <w:pBdr>
        <w:top w:val="single" w:sz="6" w:space="0" w:color="auto"/>
        <w:left w:val="single" w:sz="6" w:space="4" w:color="auto"/>
        <w:bottom w:val="single" w:sz="6" w:space="17" w:color="auto"/>
        <w:right w:val="single" w:sz="6" w:space="0" w:color="auto"/>
      </w:pBdr>
      <w:ind w:left="851" w:right="165" w:hanging="851"/>
    </w:pPr>
  </w:style>
  <w:style w:type="paragraph" w:styleId="Sangra3detindependiente">
    <w:name w:val="Body Text Indent 3"/>
    <w:basedOn w:val="Normal"/>
    <w:pPr>
      <w:ind w:left="540" w:hanging="540"/>
    </w:pPr>
    <w:rPr>
      <w:b/>
      <w:snapToGrid w:val="0"/>
      <w:color w:val="000000"/>
      <w:sz w:val="36"/>
      <w:lang w:val="es-ES_tradnl" w:eastAsia="es-ES"/>
    </w:rPr>
  </w:style>
  <w:style w:type="character" w:styleId="Refdenotaalfinal">
    <w:name w:val="endnote reference"/>
    <w:semiHidden/>
    <w:rPr>
      <w:vertAlign w:val="superscript"/>
    </w:rPr>
  </w:style>
  <w:style w:type="paragraph" w:customStyle="1" w:styleId="Imagen">
    <w:name w:val="Imagen"/>
    <w:basedOn w:val="Normal"/>
    <w:next w:val="Normal"/>
    <w:pPr>
      <w:keepNext/>
      <w:spacing w:after="240"/>
    </w:pPr>
    <w:rPr>
      <w:rFonts w:ascii="Courier New" w:hAnsi="Courier New"/>
      <w:position w:val="6"/>
      <w:lang w:val="en-US"/>
    </w:rPr>
  </w:style>
  <w:style w:type="character" w:styleId="Hipervnculo">
    <w:name w:val="Hyperlink"/>
    <w:uiPriority w:val="99"/>
    <w:rPr>
      <w:color w:val="0000FF"/>
      <w:u w:val="single"/>
    </w:rPr>
  </w:style>
  <w:style w:type="table" w:styleId="Tablaconcuadrcula">
    <w:name w:val="Table Grid"/>
    <w:basedOn w:val="Tablanormal"/>
    <w:uiPriority w:val="39"/>
    <w:rsid w:val="009375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rsid w:val="009D3FD8"/>
    <w:rPr>
      <w:rFonts w:ascii="Arial" w:hAnsi="Arial"/>
      <w:b/>
      <w:caps/>
      <w:sz w:val="28"/>
      <w:szCs w:val="28"/>
      <w:lang w:val="es-ES" w:eastAsia="es-CO" w:bidi="ar-SA"/>
    </w:rPr>
  </w:style>
  <w:style w:type="character" w:styleId="Refdecomentario">
    <w:name w:val="annotation reference"/>
    <w:rsid w:val="00E1785F"/>
    <w:rPr>
      <w:sz w:val="16"/>
      <w:szCs w:val="16"/>
    </w:rPr>
  </w:style>
  <w:style w:type="paragraph" w:styleId="Textocomentario">
    <w:name w:val="annotation text"/>
    <w:basedOn w:val="Normal"/>
    <w:semiHidden/>
    <w:rsid w:val="00E1785F"/>
    <w:rPr>
      <w:sz w:val="20"/>
    </w:rPr>
  </w:style>
  <w:style w:type="paragraph" w:styleId="Asuntodelcomentario">
    <w:name w:val="annotation subject"/>
    <w:basedOn w:val="Textocomentario"/>
    <w:next w:val="Textocomentario"/>
    <w:semiHidden/>
    <w:rsid w:val="00E1785F"/>
    <w:rPr>
      <w:b/>
      <w:bCs/>
    </w:rPr>
  </w:style>
  <w:style w:type="paragraph" w:styleId="Textodeglobo">
    <w:name w:val="Balloon Text"/>
    <w:basedOn w:val="Normal"/>
    <w:semiHidden/>
    <w:rsid w:val="00E1785F"/>
    <w:rPr>
      <w:rFonts w:ascii="Tahoma" w:hAnsi="Tahoma" w:cs="Tahoma"/>
      <w:sz w:val="16"/>
      <w:szCs w:val="16"/>
    </w:rPr>
  </w:style>
  <w:style w:type="paragraph" w:customStyle="1" w:styleId="SugerenciasCar">
    <w:name w:val="Sugerencias Car"/>
    <w:basedOn w:val="Normal"/>
    <w:link w:val="SugerenciasCarCar"/>
    <w:rsid w:val="00CC76F7"/>
    <w:rPr>
      <w:i/>
      <w:color w:val="0000FF"/>
      <w:sz w:val="20"/>
    </w:rPr>
  </w:style>
  <w:style w:type="character" w:customStyle="1" w:styleId="SugerenciasCarCar">
    <w:name w:val="Sugerencias Car Car"/>
    <w:link w:val="SugerenciasCar"/>
    <w:rsid w:val="007C6751"/>
    <w:rPr>
      <w:rFonts w:ascii="Arial" w:hAnsi="Arial"/>
      <w:i/>
      <w:color w:val="0000FF"/>
      <w:lang w:val="es-ES" w:eastAsia="es-CO" w:bidi="ar-SA"/>
    </w:rPr>
  </w:style>
  <w:style w:type="paragraph" w:styleId="TDC1">
    <w:name w:val="toc 1"/>
    <w:basedOn w:val="Normal"/>
    <w:next w:val="Normal"/>
    <w:autoRedefine/>
    <w:uiPriority w:val="39"/>
    <w:rsid w:val="008E1951"/>
    <w:pPr>
      <w:tabs>
        <w:tab w:val="left" w:pos="720"/>
        <w:tab w:val="right" w:leader="dot" w:pos="9396"/>
      </w:tabs>
      <w:spacing w:before="0" w:line="360" w:lineRule="auto"/>
    </w:pPr>
    <w:rPr>
      <w:rFonts w:asciiTheme="minorHAnsi" w:hAnsiTheme="minorHAnsi" w:cstheme="minorHAnsi"/>
      <w:b/>
      <w:bCs/>
      <w:i/>
      <w:iCs/>
      <w:szCs w:val="24"/>
    </w:rPr>
  </w:style>
  <w:style w:type="paragraph" w:styleId="TDC2">
    <w:name w:val="toc 2"/>
    <w:basedOn w:val="Normal"/>
    <w:next w:val="Normal"/>
    <w:autoRedefine/>
    <w:uiPriority w:val="39"/>
    <w:rsid w:val="005A45F6"/>
    <w:pPr>
      <w:spacing w:before="120"/>
      <w:ind w:left="240"/>
    </w:pPr>
    <w:rPr>
      <w:rFonts w:asciiTheme="minorHAnsi" w:hAnsiTheme="minorHAnsi" w:cstheme="minorHAnsi"/>
      <w:b/>
      <w:bCs/>
      <w:sz w:val="22"/>
      <w:szCs w:val="22"/>
    </w:rPr>
  </w:style>
  <w:style w:type="paragraph" w:styleId="TDC3">
    <w:name w:val="toc 3"/>
    <w:basedOn w:val="Normal"/>
    <w:next w:val="Normal"/>
    <w:autoRedefine/>
    <w:uiPriority w:val="39"/>
    <w:rsid w:val="005133DC"/>
    <w:pPr>
      <w:spacing w:before="0"/>
      <w:ind w:left="480"/>
    </w:pPr>
    <w:rPr>
      <w:rFonts w:asciiTheme="minorHAnsi" w:hAnsiTheme="minorHAnsi" w:cstheme="minorHAnsi"/>
      <w:sz w:val="20"/>
    </w:rPr>
  </w:style>
  <w:style w:type="paragraph" w:customStyle="1" w:styleId="Ttulos">
    <w:name w:val="Títulos"/>
    <w:basedOn w:val="Normal"/>
    <w:rsid w:val="000C1112"/>
    <w:pPr>
      <w:jc w:val="center"/>
    </w:pPr>
    <w:rPr>
      <w:b/>
      <w:caps/>
      <w:sz w:val="32"/>
      <w:szCs w:val="32"/>
    </w:rPr>
  </w:style>
  <w:style w:type="paragraph" w:customStyle="1" w:styleId="TituloPortadas">
    <w:name w:val="TituloPortadas"/>
    <w:basedOn w:val="Normal"/>
    <w:rsid w:val="002D646B"/>
    <w:pPr>
      <w:spacing w:before="0"/>
      <w:jc w:val="center"/>
    </w:pPr>
    <w:rPr>
      <w:b/>
      <w:caps/>
      <w:sz w:val="32"/>
      <w:szCs w:val="32"/>
    </w:rPr>
  </w:style>
  <w:style w:type="paragraph" w:customStyle="1" w:styleId="Complementario">
    <w:name w:val="Complementario"/>
    <w:basedOn w:val="Ttulo1"/>
    <w:rsid w:val="004A2F7E"/>
    <w:pPr>
      <w:numPr>
        <w:numId w:val="0"/>
      </w:numPr>
    </w:pPr>
  </w:style>
  <w:style w:type="paragraph" w:customStyle="1" w:styleId="Epgrafe">
    <w:name w:val="Epígrafe"/>
    <w:basedOn w:val="Normal"/>
    <w:next w:val="Normal"/>
    <w:qFormat/>
    <w:rsid w:val="00E87F40"/>
    <w:rPr>
      <w:b/>
      <w:bCs/>
    </w:rPr>
  </w:style>
  <w:style w:type="paragraph" w:customStyle="1" w:styleId="Sugerencias">
    <w:name w:val="Sugerencias"/>
    <w:basedOn w:val="Normal"/>
    <w:rsid w:val="00E0309C"/>
    <w:rPr>
      <w:i/>
      <w:color w:val="0000FF"/>
      <w:sz w:val="20"/>
    </w:rPr>
  </w:style>
  <w:style w:type="paragraph" w:customStyle="1" w:styleId="TtulodeTDC">
    <w:name w:val="Título de TDC"/>
    <w:basedOn w:val="Ttulo1"/>
    <w:next w:val="Normal"/>
    <w:uiPriority w:val="39"/>
    <w:semiHidden/>
    <w:unhideWhenUsed/>
    <w:qFormat/>
    <w:rsid w:val="00FC2D70"/>
    <w:pPr>
      <w:keepLines/>
      <w:pageBreakBefore w:val="0"/>
      <w:numPr>
        <w:numId w:val="0"/>
      </w:numPr>
      <w:spacing w:before="480" w:after="0" w:line="276" w:lineRule="auto"/>
      <w:jc w:val="left"/>
      <w:outlineLvl w:val="9"/>
    </w:pPr>
    <w:rPr>
      <w:rFonts w:ascii="Cambria" w:hAnsi="Cambria"/>
      <w:bCs/>
      <w:caps w:val="0"/>
      <w:color w:val="365F91"/>
      <w:lang w:eastAsia="en-US"/>
    </w:rPr>
  </w:style>
  <w:style w:type="character" w:customStyle="1" w:styleId="PiedepginaCar">
    <w:name w:val="Pie de página Car"/>
    <w:link w:val="Piedepgina"/>
    <w:rsid w:val="00A25014"/>
    <w:rPr>
      <w:rFonts w:ascii="Verdana" w:hAnsi="Verdana"/>
      <w:sz w:val="22"/>
      <w:lang w:val="es-ES_tradnl"/>
    </w:rPr>
  </w:style>
  <w:style w:type="paragraph" w:styleId="Prrafodelista">
    <w:name w:val="List Paragraph"/>
    <w:basedOn w:val="Normal"/>
    <w:uiPriority w:val="34"/>
    <w:qFormat/>
    <w:rsid w:val="006C6D6A"/>
    <w:pPr>
      <w:ind w:left="720"/>
      <w:contextualSpacing/>
    </w:pPr>
  </w:style>
  <w:style w:type="paragraph" w:styleId="Revisin">
    <w:name w:val="Revision"/>
    <w:hidden/>
    <w:uiPriority w:val="99"/>
    <w:semiHidden/>
    <w:rsid w:val="005661EB"/>
    <w:rPr>
      <w:rFonts w:ascii="Arial" w:hAnsi="Arial"/>
      <w:sz w:val="22"/>
      <w:lang w:val="es-ES"/>
    </w:rPr>
  </w:style>
  <w:style w:type="character" w:customStyle="1" w:styleId="EncabezadoCar">
    <w:name w:val="Encabezado Car"/>
    <w:basedOn w:val="Fuentedeprrafopredeter"/>
    <w:link w:val="Encabezado"/>
    <w:uiPriority w:val="99"/>
    <w:rsid w:val="00455163"/>
    <w:rPr>
      <w:lang w:val="es-ES"/>
    </w:rPr>
  </w:style>
  <w:style w:type="paragraph" w:styleId="Subttulo">
    <w:name w:val="Subtitle"/>
    <w:basedOn w:val="Normal"/>
    <w:next w:val="Normal"/>
    <w:link w:val="SubttuloCar"/>
    <w:qFormat/>
    <w:rsid w:val="00F3548A"/>
    <w:pPr>
      <w:numPr>
        <w:ilvl w:val="1"/>
      </w:numPr>
      <w:spacing w:after="160"/>
      <w:ind w:firstLine="284"/>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rsid w:val="00F3548A"/>
    <w:rPr>
      <w:rFonts w:asciiTheme="minorHAnsi" w:eastAsiaTheme="minorEastAsia" w:hAnsiTheme="minorHAnsi" w:cstheme="minorBidi"/>
      <w:color w:val="5A5A5A" w:themeColor="text1" w:themeTint="A5"/>
      <w:spacing w:val="15"/>
      <w:sz w:val="22"/>
      <w:szCs w:val="22"/>
      <w:lang w:val="es-ES"/>
    </w:rPr>
  </w:style>
  <w:style w:type="paragraph" w:styleId="Descripcin">
    <w:name w:val="caption"/>
    <w:basedOn w:val="Normal"/>
    <w:next w:val="Normal"/>
    <w:qFormat/>
    <w:rsid w:val="00AB5D32"/>
    <w:pPr>
      <w:spacing w:before="0" w:after="200" w:line="240" w:lineRule="auto"/>
    </w:pPr>
    <w:rPr>
      <w:i/>
      <w:iCs/>
      <w:color w:val="44546A" w:themeColor="text2"/>
      <w:sz w:val="18"/>
      <w:szCs w:val="18"/>
    </w:rPr>
  </w:style>
  <w:style w:type="table" w:customStyle="1" w:styleId="Tablaconcuadrcula1">
    <w:name w:val="Tabla con cuadrícula1"/>
    <w:basedOn w:val="Tablanormal"/>
    <w:next w:val="Tablaconcuadrcula"/>
    <w:uiPriority w:val="39"/>
    <w:rsid w:val="00A40F0C"/>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E61C07"/>
    <w:pPr>
      <w:keepLines/>
      <w:pageBreakBefore w:val="0"/>
      <w:numPr>
        <w:numId w:val="0"/>
      </w:numPr>
      <w:spacing w:before="240" w:after="0" w:line="259" w:lineRule="auto"/>
      <w:jc w:val="left"/>
      <w:outlineLvl w:val="9"/>
    </w:pPr>
    <w:rPr>
      <w:rFonts w:asciiTheme="majorHAnsi" w:eastAsiaTheme="majorEastAsia" w:hAnsiTheme="majorHAnsi" w:cstheme="majorBidi"/>
      <w:b w:val="0"/>
      <w:caps w:val="0"/>
      <w:color w:val="2F5496" w:themeColor="accent1" w:themeShade="BF"/>
      <w:sz w:val="32"/>
      <w:szCs w:val="32"/>
      <w:lang w:val="es-CO"/>
    </w:rPr>
  </w:style>
  <w:style w:type="table" w:customStyle="1" w:styleId="Tablaconcuadrcula2">
    <w:name w:val="Tabla con cuadrícula2"/>
    <w:basedOn w:val="Tablanormal"/>
    <w:next w:val="Tablaconcuadrcula"/>
    <w:uiPriority w:val="39"/>
    <w:rsid w:val="00355D8A"/>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rsid w:val="004D533A"/>
  </w:style>
  <w:style w:type="paragraph" w:styleId="TDC4">
    <w:name w:val="toc 4"/>
    <w:basedOn w:val="Normal"/>
    <w:next w:val="Normal"/>
    <w:autoRedefine/>
    <w:rsid w:val="008E1951"/>
    <w:pPr>
      <w:spacing w:before="0"/>
      <w:ind w:left="720"/>
    </w:pPr>
    <w:rPr>
      <w:rFonts w:asciiTheme="minorHAnsi" w:hAnsiTheme="minorHAnsi" w:cstheme="minorHAnsi"/>
      <w:sz w:val="20"/>
    </w:rPr>
  </w:style>
  <w:style w:type="paragraph" w:styleId="TDC5">
    <w:name w:val="toc 5"/>
    <w:basedOn w:val="Normal"/>
    <w:next w:val="Normal"/>
    <w:autoRedefine/>
    <w:rsid w:val="008E1951"/>
    <w:pPr>
      <w:spacing w:before="0"/>
      <w:ind w:left="960"/>
    </w:pPr>
    <w:rPr>
      <w:rFonts w:asciiTheme="minorHAnsi" w:hAnsiTheme="minorHAnsi" w:cstheme="minorHAnsi"/>
      <w:sz w:val="20"/>
    </w:rPr>
  </w:style>
  <w:style w:type="paragraph" w:styleId="TDC6">
    <w:name w:val="toc 6"/>
    <w:basedOn w:val="Normal"/>
    <w:next w:val="Normal"/>
    <w:autoRedefine/>
    <w:rsid w:val="008E1951"/>
    <w:pPr>
      <w:spacing w:before="0"/>
      <w:ind w:left="1200"/>
    </w:pPr>
    <w:rPr>
      <w:rFonts w:asciiTheme="minorHAnsi" w:hAnsiTheme="minorHAnsi" w:cstheme="minorHAnsi"/>
      <w:sz w:val="20"/>
    </w:rPr>
  </w:style>
  <w:style w:type="paragraph" w:styleId="TDC7">
    <w:name w:val="toc 7"/>
    <w:basedOn w:val="Normal"/>
    <w:next w:val="Normal"/>
    <w:autoRedefine/>
    <w:rsid w:val="008E1951"/>
    <w:pPr>
      <w:spacing w:before="0"/>
      <w:ind w:left="1440"/>
    </w:pPr>
    <w:rPr>
      <w:rFonts w:asciiTheme="minorHAnsi" w:hAnsiTheme="minorHAnsi" w:cstheme="minorHAnsi"/>
      <w:sz w:val="20"/>
    </w:rPr>
  </w:style>
  <w:style w:type="paragraph" w:styleId="TDC8">
    <w:name w:val="toc 8"/>
    <w:basedOn w:val="Normal"/>
    <w:next w:val="Normal"/>
    <w:autoRedefine/>
    <w:rsid w:val="008E1951"/>
    <w:pPr>
      <w:spacing w:before="0"/>
      <w:ind w:left="1680"/>
    </w:pPr>
    <w:rPr>
      <w:rFonts w:asciiTheme="minorHAnsi" w:hAnsiTheme="minorHAnsi" w:cstheme="minorHAnsi"/>
      <w:sz w:val="20"/>
    </w:rPr>
  </w:style>
  <w:style w:type="paragraph" w:styleId="TDC9">
    <w:name w:val="toc 9"/>
    <w:basedOn w:val="Normal"/>
    <w:next w:val="Normal"/>
    <w:autoRedefine/>
    <w:rsid w:val="008E1951"/>
    <w:pPr>
      <w:spacing w:before="0"/>
      <w:ind w:left="1920"/>
    </w:pPr>
    <w:rPr>
      <w:rFonts w:asciiTheme="minorHAnsi" w:hAnsiTheme="minorHAnsi" w:cstheme="minorHAnsi"/>
      <w:sz w:val="20"/>
    </w:rPr>
  </w:style>
  <w:style w:type="character" w:styleId="Mencinsinresolver">
    <w:name w:val="Unresolved Mention"/>
    <w:basedOn w:val="Fuentedeprrafopredeter"/>
    <w:uiPriority w:val="99"/>
    <w:semiHidden/>
    <w:unhideWhenUsed/>
    <w:rsid w:val="00483A76"/>
    <w:rPr>
      <w:color w:val="605E5C"/>
      <w:shd w:val="clear" w:color="auto" w:fill="E1DFDD"/>
    </w:rPr>
  </w:style>
  <w:style w:type="character" w:styleId="Textodelmarcadordeposicin">
    <w:name w:val="Placeholder Text"/>
    <w:basedOn w:val="Fuentedeprrafopredeter"/>
    <w:uiPriority w:val="99"/>
    <w:semiHidden/>
    <w:rsid w:val="004D798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83389">
      <w:bodyDiv w:val="1"/>
      <w:marLeft w:val="0"/>
      <w:marRight w:val="0"/>
      <w:marTop w:val="0"/>
      <w:marBottom w:val="0"/>
      <w:divBdr>
        <w:top w:val="none" w:sz="0" w:space="0" w:color="auto"/>
        <w:left w:val="none" w:sz="0" w:space="0" w:color="auto"/>
        <w:bottom w:val="none" w:sz="0" w:space="0" w:color="auto"/>
        <w:right w:val="none" w:sz="0" w:space="0" w:color="auto"/>
      </w:divBdr>
    </w:div>
    <w:div w:id="74671422">
      <w:bodyDiv w:val="1"/>
      <w:marLeft w:val="0"/>
      <w:marRight w:val="0"/>
      <w:marTop w:val="0"/>
      <w:marBottom w:val="0"/>
      <w:divBdr>
        <w:top w:val="none" w:sz="0" w:space="0" w:color="auto"/>
        <w:left w:val="none" w:sz="0" w:space="0" w:color="auto"/>
        <w:bottom w:val="none" w:sz="0" w:space="0" w:color="auto"/>
        <w:right w:val="none" w:sz="0" w:space="0" w:color="auto"/>
      </w:divBdr>
    </w:div>
    <w:div w:id="207450998">
      <w:bodyDiv w:val="1"/>
      <w:marLeft w:val="0"/>
      <w:marRight w:val="0"/>
      <w:marTop w:val="0"/>
      <w:marBottom w:val="0"/>
      <w:divBdr>
        <w:top w:val="none" w:sz="0" w:space="0" w:color="auto"/>
        <w:left w:val="none" w:sz="0" w:space="0" w:color="auto"/>
        <w:bottom w:val="none" w:sz="0" w:space="0" w:color="auto"/>
        <w:right w:val="none" w:sz="0" w:space="0" w:color="auto"/>
      </w:divBdr>
    </w:div>
    <w:div w:id="253824412">
      <w:bodyDiv w:val="1"/>
      <w:marLeft w:val="0"/>
      <w:marRight w:val="0"/>
      <w:marTop w:val="0"/>
      <w:marBottom w:val="0"/>
      <w:divBdr>
        <w:top w:val="none" w:sz="0" w:space="0" w:color="auto"/>
        <w:left w:val="none" w:sz="0" w:space="0" w:color="auto"/>
        <w:bottom w:val="none" w:sz="0" w:space="0" w:color="auto"/>
        <w:right w:val="none" w:sz="0" w:space="0" w:color="auto"/>
      </w:divBdr>
    </w:div>
    <w:div w:id="282079788">
      <w:bodyDiv w:val="1"/>
      <w:marLeft w:val="0"/>
      <w:marRight w:val="0"/>
      <w:marTop w:val="0"/>
      <w:marBottom w:val="0"/>
      <w:divBdr>
        <w:top w:val="none" w:sz="0" w:space="0" w:color="auto"/>
        <w:left w:val="none" w:sz="0" w:space="0" w:color="auto"/>
        <w:bottom w:val="none" w:sz="0" w:space="0" w:color="auto"/>
        <w:right w:val="none" w:sz="0" w:space="0" w:color="auto"/>
      </w:divBdr>
    </w:div>
    <w:div w:id="564726668">
      <w:bodyDiv w:val="1"/>
      <w:marLeft w:val="0"/>
      <w:marRight w:val="0"/>
      <w:marTop w:val="0"/>
      <w:marBottom w:val="0"/>
      <w:divBdr>
        <w:top w:val="none" w:sz="0" w:space="0" w:color="auto"/>
        <w:left w:val="none" w:sz="0" w:space="0" w:color="auto"/>
        <w:bottom w:val="none" w:sz="0" w:space="0" w:color="auto"/>
        <w:right w:val="none" w:sz="0" w:space="0" w:color="auto"/>
      </w:divBdr>
    </w:div>
    <w:div w:id="652292746">
      <w:bodyDiv w:val="1"/>
      <w:marLeft w:val="0"/>
      <w:marRight w:val="0"/>
      <w:marTop w:val="0"/>
      <w:marBottom w:val="0"/>
      <w:divBdr>
        <w:top w:val="none" w:sz="0" w:space="0" w:color="auto"/>
        <w:left w:val="none" w:sz="0" w:space="0" w:color="auto"/>
        <w:bottom w:val="none" w:sz="0" w:space="0" w:color="auto"/>
        <w:right w:val="none" w:sz="0" w:space="0" w:color="auto"/>
      </w:divBdr>
    </w:div>
    <w:div w:id="676929484">
      <w:bodyDiv w:val="1"/>
      <w:marLeft w:val="0"/>
      <w:marRight w:val="0"/>
      <w:marTop w:val="0"/>
      <w:marBottom w:val="0"/>
      <w:divBdr>
        <w:top w:val="none" w:sz="0" w:space="0" w:color="auto"/>
        <w:left w:val="none" w:sz="0" w:space="0" w:color="auto"/>
        <w:bottom w:val="none" w:sz="0" w:space="0" w:color="auto"/>
        <w:right w:val="none" w:sz="0" w:space="0" w:color="auto"/>
      </w:divBdr>
    </w:div>
    <w:div w:id="761997877">
      <w:bodyDiv w:val="1"/>
      <w:marLeft w:val="0"/>
      <w:marRight w:val="0"/>
      <w:marTop w:val="0"/>
      <w:marBottom w:val="0"/>
      <w:divBdr>
        <w:top w:val="none" w:sz="0" w:space="0" w:color="auto"/>
        <w:left w:val="none" w:sz="0" w:space="0" w:color="auto"/>
        <w:bottom w:val="none" w:sz="0" w:space="0" w:color="auto"/>
        <w:right w:val="none" w:sz="0" w:space="0" w:color="auto"/>
      </w:divBdr>
    </w:div>
    <w:div w:id="769593303">
      <w:bodyDiv w:val="1"/>
      <w:marLeft w:val="0"/>
      <w:marRight w:val="0"/>
      <w:marTop w:val="0"/>
      <w:marBottom w:val="0"/>
      <w:divBdr>
        <w:top w:val="none" w:sz="0" w:space="0" w:color="auto"/>
        <w:left w:val="none" w:sz="0" w:space="0" w:color="auto"/>
        <w:bottom w:val="none" w:sz="0" w:space="0" w:color="auto"/>
        <w:right w:val="none" w:sz="0" w:space="0" w:color="auto"/>
      </w:divBdr>
    </w:div>
    <w:div w:id="793133126">
      <w:bodyDiv w:val="1"/>
      <w:marLeft w:val="0"/>
      <w:marRight w:val="0"/>
      <w:marTop w:val="0"/>
      <w:marBottom w:val="0"/>
      <w:divBdr>
        <w:top w:val="none" w:sz="0" w:space="0" w:color="auto"/>
        <w:left w:val="none" w:sz="0" w:space="0" w:color="auto"/>
        <w:bottom w:val="none" w:sz="0" w:space="0" w:color="auto"/>
        <w:right w:val="none" w:sz="0" w:space="0" w:color="auto"/>
      </w:divBdr>
    </w:div>
    <w:div w:id="926811405">
      <w:bodyDiv w:val="1"/>
      <w:marLeft w:val="0"/>
      <w:marRight w:val="0"/>
      <w:marTop w:val="0"/>
      <w:marBottom w:val="0"/>
      <w:divBdr>
        <w:top w:val="none" w:sz="0" w:space="0" w:color="auto"/>
        <w:left w:val="none" w:sz="0" w:space="0" w:color="auto"/>
        <w:bottom w:val="none" w:sz="0" w:space="0" w:color="auto"/>
        <w:right w:val="none" w:sz="0" w:space="0" w:color="auto"/>
      </w:divBdr>
    </w:div>
    <w:div w:id="957294602">
      <w:bodyDiv w:val="1"/>
      <w:marLeft w:val="0"/>
      <w:marRight w:val="0"/>
      <w:marTop w:val="0"/>
      <w:marBottom w:val="0"/>
      <w:divBdr>
        <w:top w:val="none" w:sz="0" w:space="0" w:color="auto"/>
        <w:left w:val="none" w:sz="0" w:space="0" w:color="auto"/>
        <w:bottom w:val="none" w:sz="0" w:space="0" w:color="auto"/>
        <w:right w:val="none" w:sz="0" w:space="0" w:color="auto"/>
      </w:divBdr>
    </w:div>
    <w:div w:id="1062020177">
      <w:bodyDiv w:val="1"/>
      <w:marLeft w:val="0"/>
      <w:marRight w:val="0"/>
      <w:marTop w:val="0"/>
      <w:marBottom w:val="0"/>
      <w:divBdr>
        <w:top w:val="none" w:sz="0" w:space="0" w:color="auto"/>
        <w:left w:val="none" w:sz="0" w:space="0" w:color="auto"/>
        <w:bottom w:val="none" w:sz="0" w:space="0" w:color="auto"/>
        <w:right w:val="none" w:sz="0" w:space="0" w:color="auto"/>
      </w:divBdr>
    </w:div>
    <w:div w:id="1119765221">
      <w:bodyDiv w:val="1"/>
      <w:marLeft w:val="0"/>
      <w:marRight w:val="0"/>
      <w:marTop w:val="0"/>
      <w:marBottom w:val="0"/>
      <w:divBdr>
        <w:top w:val="none" w:sz="0" w:space="0" w:color="auto"/>
        <w:left w:val="none" w:sz="0" w:space="0" w:color="auto"/>
        <w:bottom w:val="none" w:sz="0" w:space="0" w:color="auto"/>
        <w:right w:val="none" w:sz="0" w:space="0" w:color="auto"/>
      </w:divBdr>
    </w:div>
    <w:div w:id="1488399784">
      <w:bodyDiv w:val="1"/>
      <w:marLeft w:val="0"/>
      <w:marRight w:val="0"/>
      <w:marTop w:val="0"/>
      <w:marBottom w:val="0"/>
      <w:divBdr>
        <w:top w:val="none" w:sz="0" w:space="0" w:color="auto"/>
        <w:left w:val="none" w:sz="0" w:space="0" w:color="auto"/>
        <w:bottom w:val="none" w:sz="0" w:space="0" w:color="auto"/>
        <w:right w:val="none" w:sz="0" w:space="0" w:color="auto"/>
      </w:divBdr>
    </w:div>
    <w:div w:id="1511064833">
      <w:bodyDiv w:val="1"/>
      <w:marLeft w:val="0"/>
      <w:marRight w:val="0"/>
      <w:marTop w:val="0"/>
      <w:marBottom w:val="0"/>
      <w:divBdr>
        <w:top w:val="none" w:sz="0" w:space="0" w:color="auto"/>
        <w:left w:val="none" w:sz="0" w:space="0" w:color="auto"/>
        <w:bottom w:val="none" w:sz="0" w:space="0" w:color="auto"/>
        <w:right w:val="none" w:sz="0" w:space="0" w:color="auto"/>
      </w:divBdr>
    </w:div>
    <w:div w:id="1559900121">
      <w:bodyDiv w:val="1"/>
      <w:marLeft w:val="0"/>
      <w:marRight w:val="0"/>
      <w:marTop w:val="0"/>
      <w:marBottom w:val="0"/>
      <w:divBdr>
        <w:top w:val="none" w:sz="0" w:space="0" w:color="auto"/>
        <w:left w:val="none" w:sz="0" w:space="0" w:color="auto"/>
        <w:bottom w:val="none" w:sz="0" w:space="0" w:color="auto"/>
        <w:right w:val="none" w:sz="0" w:space="0" w:color="auto"/>
      </w:divBdr>
    </w:div>
    <w:div w:id="1637685505">
      <w:bodyDiv w:val="1"/>
      <w:marLeft w:val="0"/>
      <w:marRight w:val="0"/>
      <w:marTop w:val="0"/>
      <w:marBottom w:val="0"/>
      <w:divBdr>
        <w:top w:val="none" w:sz="0" w:space="0" w:color="auto"/>
        <w:left w:val="none" w:sz="0" w:space="0" w:color="auto"/>
        <w:bottom w:val="none" w:sz="0" w:space="0" w:color="auto"/>
        <w:right w:val="none" w:sz="0" w:space="0" w:color="auto"/>
      </w:divBdr>
    </w:div>
    <w:div w:id="1953898767">
      <w:bodyDiv w:val="1"/>
      <w:marLeft w:val="0"/>
      <w:marRight w:val="0"/>
      <w:marTop w:val="0"/>
      <w:marBottom w:val="0"/>
      <w:divBdr>
        <w:top w:val="none" w:sz="0" w:space="0" w:color="auto"/>
        <w:left w:val="none" w:sz="0" w:space="0" w:color="auto"/>
        <w:bottom w:val="none" w:sz="0" w:space="0" w:color="auto"/>
        <w:right w:val="none" w:sz="0" w:space="0" w:color="auto"/>
      </w:divBdr>
    </w:div>
    <w:div w:id="2013874665">
      <w:bodyDiv w:val="1"/>
      <w:marLeft w:val="0"/>
      <w:marRight w:val="0"/>
      <w:marTop w:val="0"/>
      <w:marBottom w:val="0"/>
      <w:divBdr>
        <w:top w:val="none" w:sz="0" w:space="0" w:color="auto"/>
        <w:left w:val="none" w:sz="0" w:space="0" w:color="auto"/>
        <w:bottom w:val="none" w:sz="0" w:space="0" w:color="auto"/>
        <w:right w:val="none" w:sz="0" w:space="0" w:color="auto"/>
      </w:divBdr>
    </w:div>
    <w:div w:id="20324909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7.png"/><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hdphoto" Target="media/hdphoto1.wdp"/><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0" Type="http://schemas.openxmlformats.org/officeDocument/2006/relationships/image" Target="media/image8.emf"/><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vel\Mis%20documentos\EIA2006\Formatos\PlantillasInvEIA\InformeFinalTG_V0_EIA.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5543DA14F4149B6B4841DF7D2D31438"/>
        <w:category>
          <w:name w:val="General"/>
          <w:gallery w:val="placeholder"/>
        </w:category>
        <w:types>
          <w:type w:val="bbPlcHdr"/>
        </w:types>
        <w:behaviors>
          <w:behavior w:val="content"/>
        </w:behaviors>
        <w:guid w:val="{2DEE0368-5606-4603-B131-20129BF684F4}"/>
      </w:docPartPr>
      <w:docPartBody>
        <w:p w:rsidR="00AA4E68" w:rsidRDefault="004B1DE0" w:rsidP="004B1DE0">
          <w:pPr>
            <w:pStyle w:val="45543DA14F4149B6B4841DF7D2D31438"/>
          </w:pPr>
          <w:r w:rsidRPr="00B72F7A">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DE0"/>
    <w:rsid w:val="00022267"/>
    <w:rsid w:val="00044EF9"/>
    <w:rsid w:val="0009595F"/>
    <w:rsid w:val="00165BCF"/>
    <w:rsid w:val="00186F0D"/>
    <w:rsid w:val="001B3662"/>
    <w:rsid w:val="0022255B"/>
    <w:rsid w:val="0028322C"/>
    <w:rsid w:val="003128A3"/>
    <w:rsid w:val="00367BF9"/>
    <w:rsid w:val="00394AD2"/>
    <w:rsid w:val="003A06B5"/>
    <w:rsid w:val="004663F1"/>
    <w:rsid w:val="004B1DE0"/>
    <w:rsid w:val="0054452B"/>
    <w:rsid w:val="00655E0B"/>
    <w:rsid w:val="00682D0B"/>
    <w:rsid w:val="006E3C66"/>
    <w:rsid w:val="0070271B"/>
    <w:rsid w:val="00733C4A"/>
    <w:rsid w:val="00794CB8"/>
    <w:rsid w:val="007E09FB"/>
    <w:rsid w:val="008050BC"/>
    <w:rsid w:val="008144D9"/>
    <w:rsid w:val="00844DF6"/>
    <w:rsid w:val="00876B6A"/>
    <w:rsid w:val="00883390"/>
    <w:rsid w:val="008C33B0"/>
    <w:rsid w:val="00915B8D"/>
    <w:rsid w:val="00965D6B"/>
    <w:rsid w:val="009A0034"/>
    <w:rsid w:val="009D5395"/>
    <w:rsid w:val="00A1051D"/>
    <w:rsid w:val="00A46C98"/>
    <w:rsid w:val="00A6689E"/>
    <w:rsid w:val="00A72947"/>
    <w:rsid w:val="00AA4E68"/>
    <w:rsid w:val="00AC043C"/>
    <w:rsid w:val="00B12BAD"/>
    <w:rsid w:val="00BA5042"/>
    <w:rsid w:val="00BA5BC0"/>
    <w:rsid w:val="00BE64E7"/>
    <w:rsid w:val="00BF7BDF"/>
    <w:rsid w:val="00C6063D"/>
    <w:rsid w:val="00CB3064"/>
    <w:rsid w:val="00CE0457"/>
    <w:rsid w:val="00CE6F72"/>
    <w:rsid w:val="00D23652"/>
    <w:rsid w:val="00D67E1C"/>
    <w:rsid w:val="00DC55C8"/>
    <w:rsid w:val="00DE08A6"/>
    <w:rsid w:val="00DF6ADD"/>
    <w:rsid w:val="00E258C1"/>
    <w:rsid w:val="00E26045"/>
    <w:rsid w:val="00E36A33"/>
    <w:rsid w:val="00E63760"/>
    <w:rsid w:val="00EC16BA"/>
    <w:rsid w:val="00F23722"/>
    <w:rsid w:val="00FB7D5C"/>
    <w:rsid w:val="00FF28D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B1DE0"/>
    <w:rPr>
      <w:color w:val="808080"/>
    </w:rPr>
  </w:style>
  <w:style w:type="paragraph" w:customStyle="1" w:styleId="45543DA14F4149B6B4841DF7D2D31438">
    <w:name w:val="45543DA14F4149B6B4841DF7D2D31438"/>
    <w:rsid w:val="004B1DE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Tag>
    <b:SourceType>BookSection</b:SourceType>
    <b:Guid>{6751B43B-C6FD-43D3-B05B-B8FDC9333F89}</b:Guid>
    <b:Title>a</b:Title>
    <b:Author>
      <b:Author>
        <b:NameList>
          <b:Person>
            <b:Last>a</b:Last>
          </b:Person>
        </b:NameList>
      </b:Author>
      <b:BookAuthor>
        <b:NameList>
          <b:Person>
            <b:Last>a</b:Last>
          </b:Person>
        </b:NameList>
      </b:BookAuthor>
    </b:Author>
    <b:RefOrder>1</b:RefOrder>
  </b:Source>
</b:Sources>
</file>

<file path=customXml/itemProps1.xml><?xml version="1.0" encoding="utf-8"?>
<ds:datastoreItem xmlns:ds="http://schemas.openxmlformats.org/officeDocument/2006/customXml" ds:itemID="{9C9961EF-C33D-467F-88C7-901083591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InformeFinalTG_V0_EIA.dot</Template>
  <TotalTime>11</TotalTime>
  <Pages>69</Pages>
  <Words>38313</Words>
  <Characters>210726</Characters>
  <Application>Microsoft Office Word</Application>
  <DocSecurity>0</DocSecurity>
  <Lines>1756</Lines>
  <Paragraphs>497</Paragraphs>
  <ScaleCrop>false</ScaleCrop>
  <HeadingPairs>
    <vt:vector size="2" baseType="variant">
      <vt:variant>
        <vt:lpstr>Título</vt:lpstr>
      </vt:variant>
      <vt:variant>
        <vt:i4>1</vt:i4>
      </vt:variant>
    </vt:vector>
  </HeadingPairs>
  <TitlesOfParts>
    <vt:vector size="1" baseType="lpstr">
      <vt:lpstr>FORMULACIÓN DE PROYECTOS</vt:lpstr>
    </vt:vector>
  </TitlesOfParts>
  <Company>EIA</Company>
  <LinksUpToDate>false</LinksUpToDate>
  <CharactersWithSpaces>248542</CharactersWithSpaces>
  <SharedDoc>false</SharedDoc>
  <HLinks>
    <vt:vector size="78" baseType="variant">
      <vt:variant>
        <vt:i4>1900593</vt:i4>
      </vt:variant>
      <vt:variant>
        <vt:i4>74</vt:i4>
      </vt:variant>
      <vt:variant>
        <vt:i4>0</vt:i4>
      </vt:variant>
      <vt:variant>
        <vt:i4>5</vt:i4>
      </vt:variant>
      <vt:variant>
        <vt:lpwstr/>
      </vt:variant>
      <vt:variant>
        <vt:lpwstr>_Toc456169570</vt:lpwstr>
      </vt:variant>
      <vt:variant>
        <vt:i4>1835057</vt:i4>
      </vt:variant>
      <vt:variant>
        <vt:i4>68</vt:i4>
      </vt:variant>
      <vt:variant>
        <vt:i4>0</vt:i4>
      </vt:variant>
      <vt:variant>
        <vt:i4>5</vt:i4>
      </vt:variant>
      <vt:variant>
        <vt:lpwstr/>
      </vt:variant>
      <vt:variant>
        <vt:lpwstr>_Toc456169569</vt:lpwstr>
      </vt:variant>
      <vt:variant>
        <vt:i4>1835057</vt:i4>
      </vt:variant>
      <vt:variant>
        <vt:i4>62</vt:i4>
      </vt:variant>
      <vt:variant>
        <vt:i4>0</vt:i4>
      </vt:variant>
      <vt:variant>
        <vt:i4>5</vt:i4>
      </vt:variant>
      <vt:variant>
        <vt:lpwstr/>
      </vt:variant>
      <vt:variant>
        <vt:lpwstr>_Toc456169568</vt:lpwstr>
      </vt:variant>
      <vt:variant>
        <vt:i4>1835057</vt:i4>
      </vt:variant>
      <vt:variant>
        <vt:i4>56</vt:i4>
      </vt:variant>
      <vt:variant>
        <vt:i4>0</vt:i4>
      </vt:variant>
      <vt:variant>
        <vt:i4>5</vt:i4>
      </vt:variant>
      <vt:variant>
        <vt:lpwstr/>
      </vt:variant>
      <vt:variant>
        <vt:lpwstr>_Toc456169567</vt:lpwstr>
      </vt:variant>
      <vt:variant>
        <vt:i4>1835057</vt:i4>
      </vt:variant>
      <vt:variant>
        <vt:i4>50</vt:i4>
      </vt:variant>
      <vt:variant>
        <vt:i4>0</vt:i4>
      </vt:variant>
      <vt:variant>
        <vt:i4>5</vt:i4>
      </vt:variant>
      <vt:variant>
        <vt:lpwstr/>
      </vt:variant>
      <vt:variant>
        <vt:lpwstr>_Toc456169566</vt:lpwstr>
      </vt:variant>
      <vt:variant>
        <vt:i4>1835057</vt:i4>
      </vt:variant>
      <vt:variant>
        <vt:i4>44</vt:i4>
      </vt:variant>
      <vt:variant>
        <vt:i4>0</vt:i4>
      </vt:variant>
      <vt:variant>
        <vt:i4>5</vt:i4>
      </vt:variant>
      <vt:variant>
        <vt:lpwstr/>
      </vt:variant>
      <vt:variant>
        <vt:lpwstr>_Toc456169565</vt:lpwstr>
      </vt:variant>
      <vt:variant>
        <vt:i4>1835057</vt:i4>
      </vt:variant>
      <vt:variant>
        <vt:i4>38</vt:i4>
      </vt:variant>
      <vt:variant>
        <vt:i4>0</vt:i4>
      </vt:variant>
      <vt:variant>
        <vt:i4>5</vt:i4>
      </vt:variant>
      <vt:variant>
        <vt:lpwstr/>
      </vt:variant>
      <vt:variant>
        <vt:lpwstr>_Toc456169564</vt:lpwstr>
      </vt:variant>
      <vt:variant>
        <vt:i4>1835057</vt:i4>
      </vt:variant>
      <vt:variant>
        <vt:i4>32</vt:i4>
      </vt:variant>
      <vt:variant>
        <vt:i4>0</vt:i4>
      </vt:variant>
      <vt:variant>
        <vt:i4>5</vt:i4>
      </vt:variant>
      <vt:variant>
        <vt:lpwstr/>
      </vt:variant>
      <vt:variant>
        <vt:lpwstr>_Toc456169563</vt:lpwstr>
      </vt:variant>
      <vt:variant>
        <vt:i4>1835057</vt:i4>
      </vt:variant>
      <vt:variant>
        <vt:i4>26</vt:i4>
      </vt:variant>
      <vt:variant>
        <vt:i4>0</vt:i4>
      </vt:variant>
      <vt:variant>
        <vt:i4>5</vt:i4>
      </vt:variant>
      <vt:variant>
        <vt:lpwstr/>
      </vt:variant>
      <vt:variant>
        <vt:lpwstr>_Toc456169562</vt:lpwstr>
      </vt:variant>
      <vt:variant>
        <vt:i4>1835057</vt:i4>
      </vt:variant>
      <vt:variant>
        <vt:i4>20</vt:i4>
      </vt:variant>
      <vt:variant>
        <vt:i4>0</vt:i4>
      </vt:variant>
      <vt:variant>
        <vt:i4>5</vt:i4>
      </vt:variant>
      <vt:variant>
        <vt:lpwstr/>
      </vt:variant>
      <vt:variant>
        <vt:lpwstr>_Toc456169561</vt:lpwstr>
      </vt:variant>
      <vt:variant>
        <vt:i4>1835057</vt:i4>
      </vt:variant>
      <vt:variant>
        <vt:i4>14</vt:i4>
      </vt:variant>
      <vt:variant>
        <vt:i4>0</vt:i4>
      </vt:variant>
      <vt:variant>
        <vt:i4>5</vt:i4>
      </vt:variant>
      <vt:variant>
        <vt:lpwstr/>
      </vt:variant>
      <vt:variant>
        <vt:lpwstr>_Toc456169560</vt:lpwstr>
      </vt:variant>
      <vt:variant>
        <vt:i4>2031665</vt:i4>
      </vt:variant>
      <vt:variant>
        <vt:i4>8</vt:i4>
      </vt:variant>
      <vt:variant>
        <vt:i4>0</vt:i4>
      </vt:variant>
      <vt:variant>
        <vt:i4>5</vt:i4>
      </vt:variant>
      <vt:variant>
        <vt:lpwstr/>
      </vt:variant>
      <vt:variant>
        <vt:lpwstr>_Toc456169559</vt:lpwstr>
      </vt:variant>
      <vt:variant>
        <vt:i4>2031665</vt:i4>
      </vt:variant>
      <vt:variant>
        <vt:i4>2</vt:i4>
      </vt:variant>
      <vt:variant>
        <vt:i4>0</vt:i4>
      </vt:variant>
      <vt:variant>
        <vt:i4>5</vt:i4>
      </vt:variant>
      <vt:variant>
        <vt:lpwstr/>
      </vt:variant>
      <vt:variant>
        <vt:lpwstr>_Toc456169558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FORMULACIÓN DE PROYECTOS</dc:title>
  <dc:subject>INVESTIGACIÓN APLICADA</dc:subject>
  <dc:creator>navel</dc:creator>
  <cp:keywords/>
  <dc:description/>
  <cp:lastModifiedBy>Aula 3.1B</cp:lastModifiedBy>
  <cp:revision>3</cp:revision>
  <cp:lastPrinted>2023-05-23T20:29:00Z</cp:lastPrinted>
  <dcterms:created xsi:type="dcterms:W3CDTF">2023-11-04T17:59:00Z</dcterms:created>
  <dcterms:modified xsi:type="dcterms:W3CDTF">2023-11-22T19:27:00Z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baf8f7c9-cba6-3b7f-92f3-23594b3f90b1</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