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100E" w:rsidRPr="00713056" w:rsidRDefault="00366FAC" w:rsidP="00FB506F">
      <w:pPr>
        <w:pStyle w:val="Sinespaciado"/>
        <w:rPr>
          <w:b/>
        </w:rPr>
      </w:pPr>
      <w:bookmarkStart w:id="0" w:name="_GoBack"/>
      <w:bookmarkEnd w:id="0"/>
      <w:r w:rsidRPr="00713056">
        <w:rPr>
          <w:b/>
        </w:rPr>
        <w:t>Universidad EIA</w:t>
      </w:r>
      <w:r w:rsidRPr="00713056">
        <w:rPr>
          <w:b/>
        </w:rPr>
        <w:tab/>
      </w:r>
      <w:r w:rsidRPr="00713056">
        <w:rPr>
          <w:b/>
        </w:rPr>
        <w:tab/>
      </w:r>
      <w:r w:rsidRPr="00713056">
        <w:rPr>
          <w:b/>
        </w:rPr>
        <w:tab/>
      </w:r>
      <w:r w:rsidR="00FB506F" w:rsidRPr="00713056">
        <w:rPr>
          <w:b/>
        </w:rPr>
        <w:tab/>
      </w:r>
      <w:r w:rsidR="00FB506F" w:rsidRPr="00713056">
        <w:rPr>
          <w:b/>
        </w:rPr>
        <w:tab/>
        <w:t>Nombre:____________________________</w:t>
      </w:r>
    </w:p>
    <w:p w:rsidR="00FB506F" w:rsidRPr="00713056" w:rsidRDefault="002D36BA" w:rsidP="00FB506F">
      <w:pPr>
        <w:pStyle w:val="Sinespaciado"/>
        <w:rPr>
          <w:b/>
        </w:rPr>
      </w:pPr>
      <w:r w:rsidRPr="00713056">
        <w:rPr>
          <w:b/>
        </w:rPr>
        <w:t xml:space="preserve">Examen Parcial </w:t>
      </w:r>
      <w:r w:rsidR="00D37039" w:rsidRPr="00713056">
        <w:rPr>
          <w:b/>
        </w:rPr>
        <w:t>Energía y Desarrollo</w:t>
      </w:r>
      <w:r w:rsidR="00FB506F" w:rsidRPr="00713056">
        <w:rPr>
          <w:b/>
        </w:rPr>
        <w:t xml:space="preserve"> </w:t>
      </w:r>
    </w:p>
    <w:p w:rsidR="00FB506F" w:rsidRPr="00713056" w:rsidRDefault="00FB506F" w:rsidP="00FB506F">
      <w:pPr>
        <w:pStyle w:val="Sinespaciado"/>
        <w:rPr>
          <w:b/>
        </w:rPr>
      </w:pPr>
      <w:r w:rsidRPr="00713056">
        <w:rPr>
          <w:b/>
        </w:rPr>
        <w:t>Profesor: Santiago Ortega Arango</w:t>
      </w:r>
    </w:p>
    <w:p w:rsidR="00FB506F" w:rsidRDefault="00D0679C" w:rsidP="00FB506F">
      <w:pPr>
        <w:pStyle w:val="Sinespaciado"/>
        <w:rPr>
          <w:b/>
        </w:rPr>
      </w:pPr>
      <w:r>
        <w:rPr>
          <w:b/>
        </w:rPr>
        <w:t>Marzo 21 de 2019</w:t>
      </w:r>
    </w:p>
    <w:p w:rsidR="008A3DCC" w:rsidRDefault="008A3DCC" w:rsidP="00FB506F">
      <w:pPr>
        <w:pStyle w:val="Sinespaciado"/>
        <w:rPr>
          <w:b/>
        </w:rPr>
      </w:pPr>
    </w:p>
    <w:p w:rsidR="004C22DF" w:rsidRDefault="004C22DF" w:rsidP="004C22DF">
      <w:pPr>
        <w:pStyle w:val="Prrafodelista"/>
        <w:numPr>
          <w:ilvl w:val="0"/>
          <w:numId w:val="9"/>
        </w:numPr>
        <w:rPr>
          <w:b/>
        </w:rPr>
      </w:pPr>
      <w:r>
        <w:rPr>
          <w:b/>
        </w:rPr>
        <w:t xml:space="preserve">Falso-Falso </w:t>
      </w:r>
      <w:r w:rsidR="00636750">
        <w:rPr>
          <w:b/>
        </w:rPr>
        <w:t>(1</w:t>
      </w:r>
      <w:r w:rsidR="00D364FF">
        <w:rPr>
          <w:b/>
        </w:rPr>
        <w:t>,5</w:t>
      </w:r>
      <w:r w:rsidR="004D4E9D" w:rsidRPr="00713056">
        <w:rPr>
          <w:b/>
        </w:rPr>
        <w:t>)</w:t>
      </w:r>
    </w:p>
    <w:p w:rsidR="004C22DF" w:rsidRPr="004C22DF" w:rsidRDefault="004C22DF" w:rsidP="004C22DF">
      <w:r w:rsidRPr="004C22DF">
        <w:t>Como inversionistas les presentan el siguiente proyecto hidroeléctrico</w:t>
      </w:r>
      <w:r w:rsidR="00112DDE">
        <w:t>: Se plantea una central a filo de agua con un caudal de diseño de 13 m3/s</w:t>
      </w:r>
      <w:r w:rsidR="00151080">
        <w:t xml:space="preserve"> y una caída de 200 metros. La velocidad promedio en el río es de 3m/S</w:t>
      </w:r>
    </w:p>
    <w:p w:rsidR="001D0E7D" w:rsidRDefault="00040060" w:rsidP="009975BC">
      <w:pPr>
        <w:jc w:val="center"/>
        <w:rPr>
          <w:b/>
        </w:rPr>
      </w:pPr>
      <w:r>
        <w:rPr>
          <w:noProof/>
          <w:lang w:val="en-US"/>
        </w:rPr>
        <w:lastRenderedPageBreak/>
        <w:drawing>
          <wp:inline distT="0" distB="0" distL="0" distR="0" wp14:anchorId="74A5D236" wp14:editId="51C3529F">
            <wp:extent cx="5657850" cy="3705225"/>
            <wp:effectExtent l="0" t="0" r="0" b="952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4B0527" w:rsidRDefault="004B0527" w:rsidP="004C22DF">
      <w:r>
        <w:t>Todas las afirmaciones siguientes son falsas. Explique por qué:</w:t>
      </w:r>
    </w:p>
    <w:p w:rsidR="004B0527" w:rsidRDefault="004B0527" w:rsidP="004B0527">
      <w:pPr>
        <w:pStyle w:val="Prrafodelista"/>
        <w:numPr>
          <w:ilvl w:val="1"/>
          <w:numId w:val="9"/>
        </w:numPr>
      </w:pPr>
      <w:r>
        <w:t>Este río muestra el comportamiento típico de los caudales de la región andina colombiana.</w:t>
      </w:r>
    </w:p>
    <w:p w:rsidR="004B0527" w:rsidRDefault="0027657A" w:rsidP="004B0527">
      <w:pPr>
        <w:pStyle w:val="Prrafodelista"/>
        <w:numPr>
          <w:ilvl w:val="1"/>
          <w:numId w:val="9"/>
        </w:numPr>
      </w:pPr>
      <w:r>
        <w:t>Al estar aguas arriba de un embalse, cuenta con un caudal regulado</w:t>
      </w:r>
    </w:p>
    <w:p w:rsidR="0027657A" w:rsidRDefault="001D6FBF" w:rsidP="004B0527">
      <w:pPr>
        <w:pStyle w:val="Prrafodelista"/>
        <w:numPr>
          <w:ilvl w:val="1"/>
          <w:numId w:val="9"/>
        </w:numPr>
      </w:pPr>
      <w:r>
        <w:t>El caudal ecológico apropiado para este proyecto son 5 metros por segundo</w:t>
      </w:r>
    </w:p>
    <w:p w:rsidR="001D6FBF" w:rsidRDefault="00D364FF" w:rsidP="004B0527">
      <w:pPr>
        <w:pStyle w:val="Prrafodelista"/>
        <w:numPr>
          <w:ilvl w:val="1"/>
          <w:numId w:val="9"/>
        </w:numPr>
      </w:pPr>
      <w:r>
        <w:lastRenderedPageBreak/>
        <w:t>Este proyecto puede contribuir de forma importante con la confiabilidad en Colombia</w:t>
      </w:r>
    </w:p>
    <w:p w:rsidR="00D364FF" w:rsidRDefault="00112DDE" w:rsidP="004B0527">
      <w:pPr>
        <w:pStyle w:val="Prrafodelista"/>
        <w:numPr>
          <w:ilvl w:val="1"/>
          <w:numId w:val="9"/>
        </w:numPr>
      </w:pPr>
      <w:r>
        <w:t>La turbina apropiada es una turbina tipo</w:t>
      </w:r>
      <w:r w:rsidR="009E1F9E">
        <w:t xml:space="preserve"> </w:t>
      </w:r>
      <w:r w:rsidR="00C55ABE">
        <w:t>Kaplan</w:t>
      </w:r>
    </w:p>
    <w:p w:rsidR="00112DDE" w:rsidRDefault="00F6491E" w:rsidP="004B0527">
      <w:pPr>
        <w:pStyle w:val="Prrafodelista"/>
        <w:numPr>
          <w:ilvl w:val="1"/>
          <w:numId w:val="9"/>
        </w:numPr>
      </w:pPr>
      <w:r>
        <w:t>El proyecto tiene una energía firme de 189 GWh/año</w:t>
      </w:r>
    </w:p>
    <w:p w:rsidR="00151080" w:rsidRDefault="007E11A0" w:rsidP="004B0527">
      <w:pPr>
        <w:pStyle w:val="Prrafodelista"/>
        <w:numPr>
          <w:ilvl w:val="1"/>
          <w:numId w:val="9"/>
        </w:numPr>
      </w:pPr>
      <w:r>
        <w:t>Una velocidad de 3m/s garantiza una altísima generación de energía.</w:t>
      </w:r>
    </w:p>
    <w:p w:rsidR="00151080" w:rsidRDefault="009E1F9E" w:rsidP="004B0527">
      <w:pPr>
        <w:pStyle w:val="Prrafodelista"/>
        <w:numPr>
          <w:ilvl w:val="1"/>
          <w:numId w:val="9"/>
        </w:numPr>
      </w:pPr>
      <w:r>
        <w:t>La potencia de este proyecto hace que se considere una planta menor del sistema</w:t>
      </w:r>
    </w:p>
    <w:p w:rsidR="00151080" w:rsidRDefault="00AC55EE" w:rsidP="004B0527">
      <w:pPr>
        <w:pStyle w:val="Prrafodelista"/>
        <w:numPr>
          <w:ilvl w:val="1"/>
          <w:numId w:val="9"/>
        </w:numPr>
      </w:pPr>
      <w:r>
        <w:t>La relocalización de comunidades en este proyecto es un tema crítico que debe manejarse con la mayor atención y cuidado social.</w:t>
      </w:r>
    </w:p>
    <w:p w:rsidR="00AC55EE" w:rsidRDefault="00040060" w:rsidP="00AC55EE">
      <w:pPr>
        <w:pStyle w:val="Prrafodelista"/>
        <w:numPr>
          <w:ilvl w:val="1"/>
          <w:numId w:val="9"/>
        </w:numPr>
      </w:pPr>
      <w:r>
        <w:t>Una creciente de 27</w:t>
      </w:r>
      <w:r w:rsidR="00AC55EE">
        <w:t>m</w:t>
      </w:r>
      <w:r w:rsidRPr="00040060">
        <w:rPr>
          <w:vertAlign w:val="superscript"/>
        </w:rPr>
        <w:t>3</w:t>
      </w:r>
      <w:r w:rsidR="00AC55EE">
        <w:t>/s sería catastrófica para la integridad del proyecto</w:t>
      </w:r>
    </w:p>
    <w:p w:rsidR="00632FB5" w:rsidRDefault="00636750" w:rsidP="00632FB5">
      <w:pPr>
        <w:pStyle w:val="Prrafodelista"/>
        <w:numPr>
          <w:ilvl w:val="0"/>
          <w:numId w:val="9"/>
        </w:numPr>
        <w:rPr>
          <w:b/>
        </w:rPr>
      </w:pPr>
      <w:r>
        <w:rPr>
          <w:b/>
        </w:rPr>
        <w:t>Transición En</w:t>
      </w:r>
      <w:r w:rsidR="009975BC">
        <w:rPr>
          <w:b/>
        </w:rPr>
        <w:t>e</w:t>
      </w:r>
      <w:r>
        <w:rPr>
          <w:b/>
        </w:rPr>
        <w:t>rgética</w:t>
      </w:r>
      <w:r w:rsidR="00632FB5" w:rsidRPr="00713056">
        <w:rPr>
          <w:b/>
        </w:rPr>
        <w:t xml:space="preserve"> (</w:t>
      </w:r>
      <w:r>
        <w:rPr>
          <w:b/>
        </w:rPr>
        <w:t>2</w:t>
      </w:r>
      <w:r w:rsidR="00632FB5" w:rsidRPr="00713056">
        <w:rPr>
          <w:b/>
        </w:rPr>
        <w:t>)</w:t>
      </w:r>
    </w:p>
    <w:p w:rsidR="00290CC3" w:rsidRDefault="00D0679C" w:rsidP="00290CC3">
      <w:pPr>
        <w:jc w:val="both"/>
      </w:pPr>
      <w:r w:rsidRPr="00D0679C">
        <w:t xml:space="preserve">Esta semana, Medellín se encuentra en una emergencia ambiental </w:t>
      </w:r>
      <w:r>
        <w:t xml:space="preserve">por calidad de aire, que afecta no solamente la salud de los habitantes sino también la competitividad de la región. Teniendo en cuenta las tendencias de transición energética, formule un modelo de negocio que ayude a </w:t>
      </w:r>
      <w:r w:rsidR="00290CC3">
        <w:t>solucionar esta problemática ambiental.</w:t>
      </w:r>
    </w:p>
    <w:p w:rsidR="00290CC3" w:rsidRDefault="00040060" w:rsidP="00290CC3">
      <w:pPr>
        <w:pStyle w:val="Prrafodelista"/>
        <w:numPr>
          <w:ilvl w:val="0"/>
          <w:numId w:val="34"/>
        </w:numPr>
        <w:jc w:val="both"/>
      </w:pPr>
      <w:r>
        <w:t>Plantee la idea de negocio, su financiación</w:t>
      </w:r>
      <w:r w:rsidR="00290CC3">
        <w:t xml:space="preserve"> </w:t>
      </w:r>
      <w:r w:rsidR="001D6FBF">
        <w:t xml:space="preserve">y </w:t>
      </w:r>
      <w:r>
        <w:t>su fuente de i</w:t>
      </w:r>
      <w:r w:rsidR="001D6FBF">
        <w:t>ngresos.</w:t>
      </w:r>
    </w:p>
    <w:p w:rsidR="00290CC3" w:rsidRDefault="00040060" w:rsidP="00290CC3">
      <w:pPr>
        <w:pStyle w:val="Prrafodelista"/>
        <w:numPr>
          <w:ilvl w:val="0"/>
          <w:numId w:val="34"/>
        </w:numPr>
        <w:jc w:val="both"/>
      </w:pPr>
      <w:r>
        <w:t>¿Qué</w:t>
      </w:r>
      <w:r w:rsidR="00290CC3">
        <w:t xml:space="preserve"> componentes de transición energética</w:t>
      </w:r>
      <w:r w:rsidR="004C22DF">
        <w:t xml:space="preserve"> toca el modelo de negocio</w:t>
      </w:r>
      <w:r>
        <w:t>?</w:t>
      </w:r>
    </w:p>
    <w:p w:rsidR="004C22DF" w:rsidRDefault="004C22DF" w:rsidP="00290CC3">
      <w:pPr>
        <w:pStyle w:val="Prrafodelista"/>
        <w:numPr>
          <w:ilvl w:val="0"/>
          <w:numId w:val="34"/>
        </w:numPr>
        <w:jc w:val="both"/>
      </w:pPr>
      <w:r>
        <w:t>¿</w:t>
      </w:r>
      <w:r w:rsidR="00AC55EE">
        <w:t>Cuáles</w:t>
      </w:r>
      <w:r>
        <w:t xml:space="preserve"> serían los sectores beneficiados?</w:t>
      </w:r>
    </w:p>
    <w:p w:rsidR="004C22DF" w:rsidRDefault="004C22DF" w:rsidP="00290CC3">
      <w:pPr>
        <w:pStyle w:val="Prrafodelista"/>
        <w:numPr>
          <w:ilvl w:val="0"/>
          <w:numId w:val="34"/>
        </w:numPr>
        <w:jc w:val="both"/>
      </w:pPr>
      <w:r>
        <w:t>¿Cuáles serían los sectores afectados?</w:t>
      </w:r>
    </w:p>
    <w:p w:rsidR="004C22DF" w:rsidRPr="00D0679C" w:rsidRDefault="004C22DF" w:rsidP="00290CC3">
      <w:pPr>
        <w:pStyle w:val="Prrafodelista"/>
        <w:numPr>
          <w:ilvl w:val="0"/>
          <w:numId w:val="34"/>
        </w:numPr>
        <w:jc w:val="both"/>
      </w:pPr>
      <w:r>
        <w:t>¿</w:t>
      </w:r>
      <w:r w:rsidR="00AC55EE">
        <w:t>Qué</w:t>
      </w:r>
      <w:r>
        <w:t xml:space="preserve"> barreras regulatorias o políticas existen y como se podrían solventar?</w:t>
      </w:r>
    </w:p>
    <w:p w:rsidR="00032E43" w:rsidRDefault="00032E43" w:rsidP="00032E43">
      <w:pPr>
        <w:pStyle w:val="Prrafodelista"/>
        <w:rPr>
          <w:sz w:val="20"/>
        </w:rPr>
      </w:pPr>
    </w:p>
    <w:p w:rsidR="00636750" w:rsidRDefault="00636750" w:rsidP="009975BC">
      <w:pPr>
        <w:pStyle w:val="Prrafodelista"/>
        <w:numPr>
          <w:ilvl w:val="0"/>
          <w:numId w:val="9"/>
        </w:numPr>
        <w:rPr>
          <w:b/>
        </w:rPr>
      </w:pPr>
      <w:r>
        <w:rPr>
          <w:b/>
        </w:rPr>
        <w:lastRenderedPageBreak/>
        <w:t>Análisis de actualidad</w:t>
      </w:r>
      <w:r w:rsidRPr="00713056">
        <w:rPr>
          <w:b/>
        </w:rPr>
        <w:t xml:space="preserve"> (</w:t>
      </w:r>
      <w:r w:rsidR="009975BC">
        <w:rPr>
          <w:b/>
        </w:rPr>
        <w:t>1</w:t>
      </w:r>
      <w:r w:rsidR="00D364FF">
        <w:rPr>
          <w:b/>
        </w:rPr>
        <w:t>,5</w:t>
      </w:r>
      <w:r w:rsidRPr="009975BC">
        <w:rPr>
          <w:b/>
        </w:rPr>
        <w:t>)</w:t>
      </w:r>
    </w:p>
    <w:p w:rsidR="009975BC" w:rsidRPr="009975BC" w:rsidRDefault="009975BC" w:rsidP="009975BC">
      <w:r>
        <w:t>Esta noticia salió ayer en El Colombiano.</w:t>
      </w:r>
    </w:p>
    <w:p w:rsidR="009975BC" w:rsidRPr="00AC55EE" w:rsidRDefault="009975BC" w:rsidP="009975BC">
      <w:pPr>
        <w:rPr>
          <w:i/>
          <w:sz w:val="20"/>
        </w:rPr>
      </w:pPr>
      <w:r w:rsidRPr="00AC55EE">
        <w:rPr>
          <w:i/>
          <w:sz w:val="20"/>
        </w:rPr>
        <w:t>El presidente de Celsia, Ricardo Sierra, le confirmó a EL COLOMBIANO que la empresa no ejecutará las obras del complejo hidroeléctrico Porvenir II y que buscará un comprador para la iniciativa cuya área de influencia abarca a cuatro municipios antioqueños (Caracolí, San Carlos, San Luis y Puerto Nare).</w:t>
      </w:r>
      <w:r w:rsidR="00AC55EE">
        <w:rPr>
          <w:i/>
          <w:sz w:val="20"/>
        </w:rPr>
        <w:t xml:space="preserve"> </w:t>
      </w:r>
    </w:p>
    <w:p w:rsidR="009975BC" w:rsidRPr="00AC55EE" w:rsidRDefault="009975BC" w:rsidP="009975BC">
      <w:pPr>
        <w:rPr>
          <w:i/>
          <w:sz w:val="20"/>
        </w:rPr>
      </w:pPr>
      <w:r w:rsidRPr="00AC55EE">
        <w:rPr>
          <w:i/>
          <w:sz w:val="20"/>
        </w:rPr>
        <w:t>El empresario quien participó ayer en Colombia Genera, actividad académica del sector minero-energético de la Asociación Nacional de Empresarios de Colombia (Andi), en Cartagena, expresó que “Porvenir II está en una situación compleja e intentamos venderlo. Estamos en ese proceso y será una de las novedades que tendremos en la asamblea de accionistas”.</w:t>
      </w:r>
    </w:p>
    <w:p w:rsidR="009975BC" w:rsidRPr="00AC55EE" w:rsidRDefault="009975BC" w:rsidP="009975BC">
      <w:pPr>
        <w:rPr>
          <w:i/>
          <w:sz w:val="20"/>
        </w:rPr>
      </w:pPr>
      <w:r w:rsidRPr="00AC55EE">
        <w:rPr>
          <w:i/>
          <w:sz w:val="20"/>
        </w:rPr>
        <w:t>Sierra añadió que si este proyecto no se vende, Celsia no lo va a construir, entre otras cosas porque el actual enfoque está en energías renovables y en el negocio de distribución, para lo que recientemente se adquirieron los activos de Enertolima.</w:t>
      </w:r>
    </w:p>
    <w:p w:rsidR="009975BC" w:rsidRPr="00AC55EE" w:rsidRDefault="009975BC" w:rsidP="009975BC">
      <w:pPr>
        <w:rPr>
          <w:i/>
          <w:sz w:val="20"/>
        </w:rPr>
      </w:pPr>
      <w:r w:rsidRPr="00AC55EE">
        <w:rPr>
          <w:i/>
          <w:sz w:val="20"/>
        </w:rPr>
        <w:t>Con este anuncio lo que se pondrá en venta es un proyecto de generación hidroeléctrica de 352 megavatios que demandaría inversiones por 850 millones de dólares.</w:t>
      </w:r>
      <w:r w:rsidR="00AC55EE">
        <w:rPr>
          <w:i/>
          <w:sz w:val="20"/>
        </w:rPr>
        <w:t xml:space="preserve"> </w:t>
      </w:r>
      <w:r w:rsidRPr="00AC55EE">
        <w:rPr>
          <w:i/>
          <w:sz w:val="20"/>
        </w:rPr>
        <w:t>Adicionalmente, Sierra sostuvo que no hay interés de Celsia por participar en la venta de acciones de Interconexión Eléctrica (ISA) que tiene prevista EPM.</w:t>
      </w:r>
    </w:p>
    <w:p w:rsidR="009975BC" w:rsidRPr="00AC55EE" w:rsidRDefault="009975BC" w:rsidP="009975BC">
      <w:pPr>
        <w:rPr>
          <w:i/>
          <w:sz w:val="20"/>
        </w:rPr>
      </w:pPr>
      <w:r w:rsidRPr="00AC55EE">
        <w:rPr>
          <w:i/>
          <w:sz w:val="20"/>
        </w:rPr>
        <w:t>Entre los años 2009 y 2012 se presentaron los estudios de prefactibilidad y el diagnóstico ambiental para este desarrollo que busca aprovechar el caudal del río Samaná.</w:t>
      </w:r>
      <w:r w:rsidR="00AC55EE">
        <w:rPr>
          <w:i/>
          <w:sz w:val="20"/>
        </w:rPr>
        <w:t xml:space="preserve"> </w:t>
      </w:r>
      <w:r w:rsidRPr="00AC55EE">
        <w:rPr>
          <w:i/>
          <w:sz w:val="20"/>
        </w:rPr>
        <w:t>Solo en julio de 2015 la Autoridad Nacional de Licencias Ambientales (Anla) dejó en firme la licencia que comenzó su trámite desde el 29 de junio de 2012.</w:t>
      </w:r>
    </w:p>
    <w:p w:rsidR="009975BC" w:rsidRPr="00AC55EE" w:rsidRDefault="009975BC" w:rsidP="009975BC">
      <w:pPr>
        <w:rPr>
          <w:i/>
          <w:sz w:val="20"/>
        </w:rPr>
      </w:pPr>
      <w:r w:rsidRPr="00AC55EE">
        <w:rPr>
          <w:i/>
          <w:sz w:val="20"/>
        </w:rPr>
        <w:lastRenderedPageBreak/>
        <w:t>Vale anotar que Celsia, filial de Grupo Argos, está en cabeza de los derechos, diseños y estudios técnicos, financieros y ambientales del proyecto, que adelantó la sociedad Producción de Energía S.A.S, filial de la firma de ingenieros local Integral, desde finales de enero de 2012.</w:t>
      </w:r>
    </w:p>
    <w:p w:rsidR="009975BC" w:rsidRPr="00AC55EE" w:rsidRDefault="009975BC" w:rsidP="009975BC">
      <w:pPr>
        <w:rPr>
          <w:i/>
          <w:sz w:val="20"/>
        </w:rPr>
      </w:pPr>
      <w:r w:rsidRPr="00AC55EE">
        <w:rPr>
          <w:i/>
          <w:sz w:val="20"/>
        </w:rPr>
        <w:t>La asamblea de accionistas de Celsia, en la que se darán mayores detalles de esta determinación, está citada para el 27 de marzo, a las 10 de la mañana en Plaza Mayor, en Medellín. El año pasado la empresa contabilizó ingresos por 3,4 billones de pesos y ganó 351.000 millones.</w:t>
      </w:r>
    </w:p>
    <w:p w:rsidR="009975BC" w:rsidRPr="009975BC" w:rsidRDefault="009975BC" w:rsidP="009975BC">
      <w:pPr>
        <w:pStyle w:val="Prrafodelista"/>
        <w:numPr>
          <w:ilvl w:val="0"/>
          <w:numId w:val="36"/>
        </w:numPr>
        <w:rPr>
          <w:i/>
        </w:rPr>
      </w:pPr>
      <w:r>
        <w:t>¿Qué mensaje le manda Celsia al sector con este anuncio?</w:t>
      </w:r>
    </w:p>
    <w:p w:rsidR="00AC55EE" w:rsidRPr="00AC55EE" w:rsidRDefault="009975BC" w:rsidP="00EF4B7E">
      <w:pPr>
        <w:pStyle w:val="Prrafodelista"/>
        <w:numPr>
          <w:ilvl w:val="0"/>
          <w:numId w:val="36"/>
        </w:numPr>
        <w:rPr>
          <w:i/>
        </w:rPr>
      </w:pPr>
      <w:r>
        <w:t>¿Cree usted que es una decisión acertada? ¿Por qué?</w:t>
      </w:r>
    </w:p>
    <w:p w:rsidR="009975BC" w:rsidRPr="00AC55EE" w:rsidRDefault="009975BC" w:rsidP="00EF4B7E">
      <w:pPr>
        <w:pStyle w:val="Prrafodelista"/>
        <w:numPr>
          <w:ilvl w:val="0"/>
          <w:numId w:val="36"/>
        </w:numPr>
        <w:rPr>
          <w:i/>
        </w:rPr>
      </w:pPr>
      <w:r>
        <w:t xml:space="preserve">¿A quién beneficia y a quien afecta esta decisión? </w:t>
      </w:r>
    </w:p>
    <w:sectPr w:rsidR="009975BC" w:rsidRPr="00AC55E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616D"/>
    <w:multiLevelType w:val="hybridMultilevel"/>
    <w:tmpl w:val="D78A6C1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E19763A"/>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27261E2"/>
    <w:multiLevelType w:val="hybridMultilevel"/>
    <w:tmpl w:val="7C6842E2"/>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AF66FC"/>
    <w:multiLevelType w:val="hybridMultilevel"/>
    <w:tmpl w:val="B4A6CD8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13350620"/>
    <w:multiLevelType w:val="hybridMultilevel"/>
    <w:tmpl w:val="61C2E5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4CF7F96"/>
    <w:multiLevelType w:val="hybridMultilevel"/>
    <w:tmpl w:val="EC0AC4B6"/>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5A5069D"/>
    <w:multiLevelType w:val="hybridMultilevel"/>
    <w:tmpl w:val="72E09E04"/>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7B77AE5"/>
    <w:multiLevelType w:val="hybridMultilevel"/>
    <w:tmpl w:val="EF7CF3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7C525D1"/>
    <w:multiLevelType w:val="hybridMultilevel"/>
    <w:tmpl w:val="13FAC85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C50528E"/>
    <w:multiLevelType w:val="hybridMultilevel"/>
    <w:tmpl w:val="C2F85E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1EFD003E"/>
    <w:multiLevelType w:val="hybridMultilevel"/>
    <w:tmpl w:val="DD42DE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14B6B2C"/>
    <w:multiLevelType w:val="hybridMultilevel"/>
    <w:tmpl w:val="357AED8A"/>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2E6157E"/>
    <w:multiLevelType w:val="hybridMultilevel"/>
    <w:tmpl w:val="13FAC85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42F6378"/>
    <w:multiLevelType w:val="hybridMultilevel"/>
    <w:tmpl w:val="7C5441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C7F2CD8"/>
    <w:multiLevelType w:val="hybridMultilevel"/>
    <w:tmpl w:val="2B70CA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335301D"/>
    <w:multiLevelType w:val="hybridMultilevel"/>
    <w:tmpl w:val="06A8B5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4DC1207"/>
    <w:multiLevelType w:val="hybridMultilevel"/>
    <w:tmpl w:val="13FAC85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55C49EF"/>
    <w:multiLevelType w:val="hybridMultilevel"/>
    <w:tmpl w:val="1A1C294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3601708C"/>
    <w:multiLevelType w:val="hybridMultilevel"/>
    <w:tmpl w:val="188614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AFD3EB0"/>
    <w:multiLevelType w:val="hybridMultilevel"/>
    <w:tmpl w:val="29BA0B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BC83A92"/>
    <w:multiLevelType w:val="hybridMultilevel"/>
    <w:tmpl w:val="415252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C792AA2"/>
    <w:multiLevelType w:val="hybridMultilevel"/>
    <w:tmpl w:val="7AB4D5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8192A5C"/>
    <w:multiLevelType w:val="hybridMultilevel"/>
    <w:tmpl w:val="A0B4A4AC"/>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3" w15:restartNumberingAfterBreak="0">
    <w:nsid w:val="4CD12B2F"/>
    <w:multiLevelType w:val="hybridMultilevel"/>
    <w:tmpl w:val="B192D2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EC220B2"/>
    <w:multiLevelType w:val="multilevel"/>
    <w:tmpl w:val="E5848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3BC1C53"/>
    <w:multiLevelType w:val="hybridMultilevel"/>
    <w:tmpl w:val="8B06D5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4C30397"/>
    <w:multiLevelType w:val="hybridMultilevel"/>
    <w:tmpl w:val="CA663D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CD11650"/>
    <w:multiLevelType w:val="multilevel"/>
    <w:tmpl w:val="240A001D"/>
    <w:lvl w:ilvl="0">
      <w:start w:val="1"/>
      <w:numFmt w:val="decimal"/>
      <w:lvlText w:val="%1)"/>
      <w:lvlJc w:val="left"/>
      <w:pPr>
        <w:ind w:left="1776" w:hanging="360"/>
      </w:pPr>
    </w:lvl>
    <w:lvl w:ilvl="1">
      <w:start w:val="1"/>
      <w:numFmt w:val="lowerLetter"/>
      <w:lvlText w:val="%2)"/>
      <w:lvlJc w:val="left"/>
      <w:pPr>
        <w:ind w:left="2136" w:hanging="360"/>
      </w:pPr>
    </w:lvl>
    <w:lvl w:ilvl="2">
      <w:start w:val="1"/>
      <w:numFmt w:val="lowerRoman"/>
      <w:lvlText w:val="%3)"/>
      <w:lvlJc w:val="left"/>
      <w:pPr>
        <w:ind w:left="2496" w:hanging="360"/>
      </w:pPr>
    </w:lvl>
    <w:lvl w:ilvl="3">
      <w:start w:val="1"/>
      <w:numFmt w:val="decimal"/>
      <w:lvlText w:val="(%4)"/>
      <w:lvlJc w:val="left"/>
      <w:pPr>
        <w:ind w:left="2856" w:hanging="360"/>
      </w:pPr>
    </w:lvl>
    <w:lvl w:ilvl="4">
      <w:start w:val="1"/>
      <w:numFmt w:val="lowerLetter"/>
      <w:lvlText w:val="(%5)"/>
      <w:lvlJc w:val="left"/>
      <w:pPr>
        <w:ind w:left="3216" w:hanging="360"/>
      </w:pPr>
    </w:lvl>
    <w:lvl w:ilvl="5">
      <w:start w:val="1"/>
      <w:numFmt w:val="lowerRoman"/>
      <w:lvlText w:val="(%6)"/>
      <w:lvlJc w:val="left"/>
      <w:pPr>
        <w:ind w:left="3576" w:hanging="360"/>
      </w:pPr>
    </w:lvl>
    <w:lvl w:ilvl="6">
      <w:start w:val="1"/>
      <w:numFmt w:val="decimal"/>
      <w:lvlText w:val="%7."/>
      <w:lvlJc w:val="left"/>
      <w:pPr>
        <w:ind w:left="3936" w:hanging="360"/>
      </w:pPr>
    </w:lvl>
    <w:lvl w:ilvl="7">
      <w:start w:val="1"/>
      <w:numFmt w:val="lowerLetter"/>
      <w:lvlText w:val="%8."/>
      <w:lvlJc w:val="left"/>
      <w:pPr>
        <w:ind w:left="4296" w:hanging="360"/>
      </w:pPr>
    </w:lvl>
    <w:lvl w:ilvl="8">
      <w:start w:val="1"/>
      <w:numFmt w:val="lowerRoman"/>
      <w:lvlText w:val="%9."/>
      <w:lvlJc w:val="left"/>
      <w:pPr>
        <w:ind w:left="4656" w:hanging="360"/>
      </w:pPr>
    </w:lvl>
  </w:abstractNum>
  <w:abstractNum w:abstractNumId="28" w15:restartNumberingAfterBreak="0">
    <w:nsid w:val="602827D9"/>
    <w:multiLevelType w:val="hybridMultilevel"/>
    <w:tmpl w:val="E9E8F8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395097C"/>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66F80875"/>
    <w:multiLevelType w:val="hybridMultilevel"/>
    <w:tmpl w:val="39D057E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7922B16"/>
    <w:multiLevelType w:val="hybridMultilevel"/>
    <w:tmpl w:val="13FAC85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72267C15"/>
    <w:multiLevelType w:val="hybridMultilevel"/>
    <w:tmpl w:val="E424B9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7DA8698E"/>
    <w:multiLevelType w:val="hybridMultilevel"/>
    <w:tmpl w:val="11E8461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1"/>
  </w:num>
  <w:num w:numId="2">
    <w:abstractNumId w:val="1"/>
  </w:num>
  <w:num w:numId="3">
    <w:abstractNumId w:val="29"/>
  </w:num>
  <w:num w:numId="4">
    <w:abstractNumId w:val="5"/>
  </w:num>
  <w:num w:numId="5">
    <w:abstractNumId w:val="20"/>
  </w:num>
  <w:num w:numId="6">
    <w:abstractNumId w:val="28"/>
  </w:num>
  <w:num w:numId="7">
    <w:abstractNumId w:val="10"/>
  </w:num>
  <w:num w:numId="8">
    <w:abstractNumId w:val="33"/>
  </w:num>
  <w:num w:numId="9">
    <w:abstractNumId w:val="6"/>
  </w:num>
  <w:num w:numId="10">
    <w:abstractNumId w:val="0"/>
  </w:num>
  <w:num w:numId="11">
    <w:abstractNumId w:val="31"/>
  </w:num>
  <w:num w:numId="12">
    <w:abstractNumId w:val="12"/>
  </w:num>
  <w:num w:numId="13">
    <w:abstractNumId w:val="8"/>
  </w:num>
  <w:num w:numId="14">
    <w:abstractNumId w:val="16"/>
  </w:num>
  <w:num w:numId="15">
    <w:abstractNumId w:val="2"/>
  </w:num>
  <w:num w:numId="16">
    <w:abstractNumId w:val="30"/>
  </w:num>
  <w:num w:numId="17">
    <w:abstractNumId w:val="22"/>
  </w:num>
  <w:num w:numId="18">
    <w:abstractNumId w:val="24"/>
  </w:num>
  <w:num w:numId="19">
    <w:abstractNumId w:val="14"/>
  </w:num>
  <w:num w:numId="20">
    <w:abstractNumId w:val="23"/>
  </w:num>
  <w:num w:numId="21">
    <w:abstractNumId w:val="25"/>
  </w:num>
  <w:num w:numId="22">
    <w:abstractNumId w:val="7"/>
  </w:num>
  <w:num w:numId="23">
    <w:abstractNumId w:val="4"/>
  </w:num>
  <w:num w:numId="24">
    <w:abstractNumId w:val="3"/>
  </w:num>
  <w:num w:numId="25">
    <w:abstractNumId w:val="19"/>
  </w:num>
  <w:num w:numId="26">
    <w:abstractNumId w:val="18"/>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10"/>
  </w:num>
  <w:num w:numId="30">
    <w:abstractNumId w:val="9"/>
  </w:num>
  <w:num w:numId="31">
    <w:abstractNumId w:val="32"/>
  </w:num>
  <w:num w:numId="32">
    <w:abstractNumId w:val="26"/>
  </w:num>
  <w:num w:numId="33">
    <w:abstractNumId w:val="27"/>
  </w:num>
  <w:num w:numId="34">
    <w:abstractNumId w:val="21"/>
  </w:num>
  <w:num w:numId="35">
    <w:abstractNumId w:val="15"/>
  </w:num>
  <w:num w:numId="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06F"/>
    <w:rsid w:val="00002650"/>
    <w:rsid w:val="00003EB7"/>
    <w:rsid w:val="000329C7"/>
    <w:rsid w:val="00032E43"/>
    <w:rsid w:val="00040060"/>
    <w:rsid w:val="000762E5"/>
    <w:rsid w:val="000A17CA"/>
    <w:rsid w:val="000C3A1E"/>
    <w:rsid w:val="000D0E5E"/>
    <w:rsid w:val="000D3CB3"/>
    <w:rsid w:val="00112DDE"/>
    <w:rsid w:val="0013299F"/>
    <w:rsid w:val="001477B9"/>
    <w:rsid w:val="00151080"/>
    <w:rsid w:val="00164505"/>
    <w:rsid w:val="001834DB"/>
    <w:rsid w:val="001860FB"/>
    <w:rsid w:val="001B219E"/>
    <w:rsid w:val="001D0E7D"/>
    <w:rsid w:val="001D6FBF"/>
    <w:rsid w:val="001E5BA9"/>
    <w:rsid w:val="0021055D"/>
    <w:rsid w:val="002249BF"/>
    <w:rsid w:val="0027657A"/>
    <w:rsid w:val="00282EFA"/>
    <w:rsid w:val="00290CC3"/>
    <w:rsid w:val="002D36BA"/>
    <w:rsid w:val="00366FAC"/>
    <w:rsid w:val="00376C0C"/>
    <w:rsid w:val="00382B45"/>
    <w:rsid w:val="003C46F0"/>
    <w:rsid w:val="003F0E0B"/>
    <w:rsid w:val="00420E03"/>
    <w:rsid w:val="004275C7"/>
    <w:rsid w:val="00432484"/>
    <w:rsid w:val="00480772"/>
    <w:rsid w:val="004A364F"/>
    <w:rsid w:val="004B0527"/>
    <w:rsid w:val="004C22DF"/>
    <w:rsid w:val="004D4E9D"/>
    <w:rsid w:val="004E20A4"/>
    <w:rsid w:val="004E5241"/>
    <w:rsid w:val="004F0072"/>
    <w:rsid w:val="00557197"/>
    <w:rsid w:val="0057036D"/>
    <w:rsid w:val="005837F0"/>
    <w:rsid w:val="00584881"/>
    <w:rsid w:val="00587E67"/>
    <w:rsid w:val="005A1865"/>
    <w:rsid w:val="005C0F89"/>
    <w:rsid w:val="005E28B0"/>
    <w:rsid w:val="005F1A69"/>
    <w:rsid w:val="00611931"/>
    <w:rsid w:val="00632784"/>
    <w:rsid w:val="00632FB5"/>
    <w:rsid w:val="00636750"/>
    <w:rsid w:val="006568F0"/>
    <w:rsid w:val="006826E2"/>
    <w:rsid w:val="006F49C8"/>
    <w:rsid w:val="00713056"/>
    <w:rsid w:val="00720356"/>
    <w:rsid w:val="0073312D"/>
    <w:rsid w:val="00736C37"/>
    <w:rsid w:val="0075245B"/>
    <w:rsid w:val="007713E3"/>
    <w:rsid w:val="007A6B3F"/>
    <w:rsid w:val="007E02B6"/>
    <w:rsid w:val="007E11A0"/>
    <w:rsid w:val="007E4E90"/>
    <w:rsid w:val="00833FA8"/>
    <w:rsid w:val="008A3DCC"/>
    <w:rsid w:val="008D4BE0"/>
    <w:rsid w:val="008F374C"/>
    <w:rsid w:val="008F7372"/>
    <w:rsid w:val="0092555A"/>
    <w:rsid w:val="00925B56"/>
    <w:rsid w:val="009320FD"/>
    <w:rsid w:val="00935679"/>
    <w:rsid w:val="00957E9A"/>
    <w:rsid w:val="009716C8"/>
    <w:rsid w:val="00987982"/>
    <w:rsid w:val="00987E70"/>
    <w:rsid w:val="009975BC"/>
    <w:rsid w:val="009B1B19"/>
    <w:rsid w:val="009C01D2"/>
    <w:rsid w:val="009E1F9E"/>
    <w:rsid w:val="009E7913"/>
    <w:rsid w:val="00A1583E"/>
    <w:rsid w:val="00A53D47"/>
    <w:rsid w:val="00A9787E"/>
    <w:rsid w:val="00AA3234"/>
    <w:rsid w:val="00AB1A29"/>
    <w:rsid w:val="00AC55EE"/>
    <w:rsid w:val="00AD49F4"/>
    <w:rsid w:val="00B0302D"/>
    <w:rsid w:val="00B243F3"/>
    <w:rsid w:val="00B310A9"/>
    <w:rsid w:val="00B45955"/>
    <w:rsid w:val="00BA7DAB"/>
    <w:rsid w:val="00BD3F3C"/>
    <w:rsid w:val="00C26D80"/>
    <w:rsid w:val="00C55ABE"/>
    <w:rsid w:val="00C82CA1"/>
    <w:rsid w:val="00CA6383"/>
    <w:rsid w:val="00CB6E8B"/>
    <w:rsid w:val="00D0679C"/>
    <w:rsid w:val="00D364FF"/>
    <w:rsid w:val="00D37039"/>
    <w:rsid w:val="00D45E7B"/>
    <w:rsid w:val="00E016FC"/>
    <w:rsid w:val="00E54EC6"/>
    <w:rsid w:val="00E95E77"/>
    <w:rsid w:val="00EB0FD2"/>
    <w:rsid w:val="00EB100E"/>
    <w:rsid w:val="00EC7DA3"/>
    <w:rsid w:val="00ED714E"/>
    <w:rsid w:val="00ED7358"/>
    <w:rsid w:val="00EF4B1B"/>
    <w:rsid w:val="00F11374"/>
    <w:rsid w:val="00F2193B"/>
    <w:rsid w:val="00F419B8"/>
    <w:rsid w:val="00F6491E"/>
    <w:rsid w:val="00F70094"/>
    <w:rsid w:val="00F812B7"/>
    <w:rsid w:val="00FB506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306A99-D227-4A30-9B19-BCFD85AE81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B506F"/>
    <w:pPr>
      <w:ind w:left="720"/>
      <w:contextualSpacing/>
    </w:pPr>
  </w:style>
  <w:style w:type="paragraph" w:styleId="Sinespaciado">
    <w:name w:val="No Spacing"/>
    <w:uiPriority w:val="1"/>
    <w:qFormat/>
    <w:rsid w:val="00FB506F"/>
    <w:pPr>
      <w:spacing w:after="0" w:line="240" w:lineRule="auto"/>
    </w:pPr>
  </w:style>
  <w:style w:type="table" w:styleId="Tablaconcuadrcula">
    <w:name w:val="Table Grid"/>
    <w:basedOn w:val="Tablanormal"/>
    <w:uiPriority w:val="39"/>
    <w:rsid w:val="00C26D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282EF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2EFA"/>
    <w:rPr>
      <w:rFonts w:ascii="Segoe UI" w:hAnsi="Segoe UI" w:cs="Segoe UI"/>
      <w:sz w:val="18"/>
      <w:szCs w:val="18"/>
    </w:rPr>
  </w:style>
  <w:style w:type="character" w:styleId="Referenciasutil">
    <w:name w:val="Subtle Reference"/>
    <w:basedOn w:val="Fuentedeprrafopredeter"/>
    <w:uiPriority w:val="31"/>
    <w:qFormat/>
    <w:rsid w:val="008F374C"/>
    <w:rPr>
      <w:smallCaps/>
      <w:color w:val="5A5A5A" w:themeColor="text1" w:themeTint="A5"/>
    </w:rPr>
  </w:style>
  <w:style w:type="paragraph" w:styleId="NormalWeb">
    <w:name w:val="Normal (Web)"/>
    <w:basedOn w:val="Normal"/>
    <w:uiPriority w:val="99"/>
    <w:semiHidden/>
    <w:unhideWhenUsed/>
    <w:rsid w:val="00B243F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exposedshow">
    <w:name w:val="text_exposed_show"/>
    <w:basedOn w:val="Fuentedeprrafopredeter"/>
    <w:rsid w:val="00B243F3"/>
  </w:style>
  <w:style w:type="paragraph" w:customStyle="1" w:styleId="parrafo">
    <w:name w:val="parrafo"/>
    <w:basedOn w:val="Normal"/>
    <w:rsid w:val="004275C7"/>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336538">
      <w:bodyDiv w:val="1"/>
      <w:marLeft w:val="0"/>
      <w:marRight w:val="0"/>
      <w:marTop w:val="0"/>
      <w:marBottom w:val="0"/>
      <w:divBdr>
        <w:top w:val="none" w:sz="0" w:space="0" w:color="auto"/>
        <w:left w:val="none" w:sz="0" w:space="0" w:color="auto"/>
        <w:bottom w:val="none" w:sz="0" w:space="0" w:color="auto"/>
        <w:right w:val="none" w:sz="0" w:space="0" w:color="auto"/>
      </w:divBdr>
    </w:div>
    <w:div w:id="164903054">
      <w:bodyDiv w:val="1"/>
      <w:marLeft w:val="0"/>
      <w:marRight w:val="0"/>
      <w:marTop w:val="0"/>
      <w:marBottom w:val="0"/>
      <w:divBdr>
        <w:top w:val="none" w:sz="0" w:space="0" w:color="auto"/>
        <w:left w:val="none" w:sz="0" w:space="0" w:color="auto"/>
        <w:bottom w:val="none" w:sz="0" w:space="0" w:color="auto"/>
        <w:right w:val="none" w:sz="0" w:space="0" w:color="auto"/>
      </w:divBdr>
    </w:div>
    <w:div w:id="437717833">
      <w:bodyDiv w:val="1"/>
      <w:marLeft w:val="0"/>
      <w:marRight w:val="0"/>
      <w:marTop w:val="0"/>
      <w:marBottom w:val="0"/>
      <w:divBdr>
        <w:top w:val="none" w:sz="0" w:space="0" w:color="auto"/>
        <w:left w:val="none" w:sz="0" w:space="0" w:color="auto"/>
        <w:bottom w:val="none" w:sz="0" w:space="0" w:color="auto"/>
        <w:right w:val="none" w:sz="0" w:space="0" w:color="auto"/>
      </w:divBdr>
    </w:div>
    <w:div w:id="515770593">
      <w:bodyDiv w:val="1"/>
      <w:marLeft w:val="0"/>
      <w:marRight w:val="0"/>
      <w:marTop w:val="0"/>
      <w:marBottom w:val="0"/>
      <w:divBdr>
        <w:top w:val="none" w:sz="0" w:space="0" w:color="auto"/>
        <w:left w:val="none" w:sz="0" w:space="0" w:color="auto"/>
        <w:bottom w:val="none" w:sz="0" w:space="0" w:color="auto"/>
        <w:right w:val="none" w:sz="0" w:space="0" w:color="auto"/>
      </w:divBdr>
    </w:div>
    <w:div w:id="579483322">
      <w:bodyDiv w:val="1"/>
      <w:marLeft w:val="0"/>
      <w:marRight w:val="0"/>
      <w:marTop w:val="0"/>
      <w:marBottom w:val="0"/>
      <w:divBdr>
        <w:top w:val="none" w:sz="0" w:space="0" w:color="auto"/>
        <w:left w:val="none" w:sz="0" w:space="0" w:color="auto"/>
        <w:bottom w:val="none" w:sz="0" w:space="0" w:color="auto"/>
        <w:right w:val="none" w:sz="0" w:space="0" w:color="auto"/>
      </w:divBdr>
    </w:div>
    <w:div w:id="966543245">
      <w:bodyDiv w:val="1"/>
      <w:marLeft w:val="0"/>
      <w:marRight w:val="0"/>
      <w:marTop w:val="0"/>
      <w:marBottom w:val="0"/>
      <w:divBdr>
        <w:top w:val="none" w:sz="0" w:space="0" w:color="auto"/>
        <w:left w:val="none" w:sz="0" w:space="0" w:color="auto"/>
        <w:bottom w:val="none" w:sz="0" w:space="0" w:color="auto"/>
        <w:right w:val="none" w:sz="0" w:space="0" w:color="auto"/>
      </w:divBdr>
    </w:div>
    <w:div w:id="1439136960">
      <w:bodyDiv w:val="1"/>
      <w:marLeft w:val="0"/>
      <w:marRight w:val="0"/>
      <w:marTop w:val="0"/>
      <w:marBottom w:val="0"/>
      <w:divBdr>
        <w:top w:val="none" w:sz="0" w:space="0" w:color="auto"/>
        <w:left w:val="none" w:sz="0" w:space="0" w:color="auto"/>
        <w:bottom w:val="none" w:sz="0" w:space="0" w:color="auto"/>
        <w:right w:val="none" w:sz="0" w:space="0" w:color="auto"/>
      </w:divBdr>
    </w:div>
    <w:div w:id="1451900980">
      <w:bodyDiv w:val="1"/>
      <w:marLeft w:val="0"/>
      <w:marRight w:val="0"/>
      <w:marTop w:val="0"/>
      <w:marBottom w:val="0"/>
      <w:divBdr>
        <w:top w:val="none" w:sz="0" w:space="0" w:color="auto"/>
        <w:left w:val="none" w:sz="0" w:space="0" w:color="auto"/>
        <w:bottom w:val="none" w:sz="0" w:space="0" w:color="auto"/>
        <w:right w:val="none" w:sz="0" w:space="0" w:color="auto"/>
      </w:divBdr>
    </w:div>
    <w:div w:id="2108185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11" Type="http://schemas.openxmlformats.org/officeDocument/2006/relationships/customXml" Target="../customXml/item4.xml"/><Relationship Id="rId5" Type="http://schemas.openxmlformats.org/officeDocument/2006/relationships/chart" Target="charts/chart1.xm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charts/_rels/chart1.xml.rels><?xml version="1.0" encoding="UTF-8" standalone="yes"?>
<Relationships xmlns="http://schemas.openxmlformats.org/package/2006/relationships"><Relationship Id="rId3" Type="http://schemas.openxmlformats.org/officeDocument/2006/relationships/oleObject" Target="Libro3"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Caudales</a:t>
            </a:r>
            <a:r>
              <a:rPr lang="es-CO" baseline="0"/>
              <a:t> Río Porky m</a:t>
            </a:r>
            <a:r>
              <a:rPr lang="es-CO" baseline="30000"/>
              <a:t>3</a:t>
            </a:r>
            <a:r>
              <a:rPr lang="es-CO" baseline="0"/>
              <a:t>/s</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Hoja1!$A$3</c:f>
              <c:strCache>
                <c:ptCount val="1"/>
                <c:pt idx="0">
                  <c:v>Maximos</c:v>
                </c:pt>
              </c:strCache>
            </c:strRef>
          </c:tx>
          <c:spPr>
            <a:ln w="28575" cap="rnd">
              <a:solidFill>
                <a:schemeClr val="dk1">
                  <a:tint val="88500"/>
                </a:schemeClr>
              </a:solidFill>
              <a:round/>
            </a:ln>
            <a:effectLst/>
          </c:spPr>
          <c:marker>
            <c:symbol val="none"/>
          </c:marker>
          <c:cat>
            <c:strRef>
              <c:f>Hoja1!$B$2:$M$2</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Hoja1!$B$3:$M$3</c:f>
              <c:numCache>
                <c:formatCode>General</c:formatCode>
                <c:ptCount val="12"/>
                <c:pt idx="0">
                  <c:v>28</c:v>
                </c:pt>
                <c:pt idx="1">
                  <c:v>20</c:v>
                </c:pt>
                <c:pt idx="2">
                  <c:v>10</c:v>
                </c:pt>
                <c:pt idx="3">
                  <c:v>12</c:v>
                </c:pt>
                <c:pt idx="4">
                  <c:v>13</c:v>
                </c:pt>
                <c:pt idx="5">
                  <c:v>17</c:v>
                </c:pt>
                <c:pt idx="6">
                  <c:v>22</c:v>
                </c:pt>
                <c:pt idx="7">
                  <c:v>20</c:v>
                </c:pt>
                <c:pt idx="8">
                  <c:v>27</c:v>
                </c:pt>
                <c:pt idx="9">
                  <c:v>25</c:v>
                </c:pt>
                <c:pt idx="10">
                  <c:v>24</c:v>
                </c:pt>
                <c:pt idx="11">
                  <c:v>27</c:v>
                </c:pt>
              </c:numCache>
            </c:numRef>
          </c:val>
          <c:smooth val="0"/>
          <c:extLst>
            <c:ext xmlns:c16="http://schemas.microsoft.com/office/drawing/2014/chart" uri="{C3380CC4-5D6E-409C-BE32-E72D297353CC}">
              <c16:uniqueId val="{00000000-97E7-44FB-B9CD-88C330D54480}"/>
            </c:ext>
          </c:extLst>
        </c:ser>
        <c:ser>
          <c:idx val="1"/>
          <c:order val="1"/>
          <c:tx>
            <c:strRef>
              <c:f>Hoja1!$A$4</c:f>
              <c:strCache>
                <c:ptCount val="1"/>
                <c:pt idx="0">
                  <c:v>Medios</c:v>
                </c:pt>
              </c:strCache>
            </c:strRef>
          </c:tx>
          <c:spPr>
            <a:ln w="28575" cap="rnd">
              <a:solidFill>
                <a:schemeClr val="dk1">
                  <a:tint val="55000"/>
                </a:schemeClr>
              </a:solidFill>
              <a:round/>
            </a:ln>
            <a:effectLst/>
          </c:spPr>
          <c:marker>
            <c:symbol val="none"/>
          </c:marker>
          <c:cat>
            <c:strRef>
              <c:f>Hoja1!$B$2:$M$2</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Hoja1!$B$4:$M$4</c:f>
              <c:numCache>
                <c:formatCode>General</c:formatCode>
                <c:ptCount val="12"/>
                <c:pt idx="0">
                  <c:v>14</c:v>
                </c:pt>
                <c:pt idx="1">
                  <c:v>12</c:v>
                </c:pt>
                <c:pt idx="2">
                  <c:v>7</c:v>
                </c:pt>
                <c:pt idx="3">
                  <c:v>9</c:v>
                </c:pt>
                <c:pt idx="4">
                  <c:v>9</c:v>
                </c:pt>
                <c:pt idx="5">
                  <c:v>11</c:v>
                </c:pt>
                <c:pt idx="6">
                  <c:v>15</c:v>
                </c:pt>
                <c:pt idx="7">
                  <c:v>14</c:v>
                </c:pt>
                <c:pt idx="8">
                  <c:v>16</c:v>
                </c:pt>
                <c:pt idx="9">
                  <c:v>17</c:v>
                </c:pt>
                <c:pt idx="10">
                  <c:v>18</c:v>
                </c:pt>
                <c:pt idx="11">
                  <c:v>17</c:v>
                </c:pt>
              </c:numCache>
            </c:numRef>
          </c:val>
          <c:smooth val="0"/>
          <c:extLst>
            <c:ext xmlns:c16="http://schemas.microsoft.com/office/drawing/2014/chart" uri="{C3380CC4-5D6E-409C-BE32-E72D297353CC}">
              <c16:uniqueId val="{00000001-97E7-44FB-B9CD-88C330D54480}"/>
            </c:ext>
          </c:extLst>
        </c:ser>
        <c:ser>
          <c:idx val="2"/>
          <c:order val="2"/>
          <c:tx>
            <c:strRef>
              <c:f>Hoja1!$A$5</c:f>
              <c:strCache>
                <c:ptCount val="1"/>
                <c:pt idx="0">
                  <c:v>Mínimos</c:v>
                </c:pt>
              </c:strCache>
            </c:strRef>
          </c:tx>
          <c:spPr>
            <a:ln w="28575" cap="rnd">
              <a:solidFill>
                <a:schemeClr val="dk1">
                  <a:tint val="75000"/>
                </a:schemeClr>
              </a:solidFill>
              <a:round/>
            </a:ln>
            <a:effectLst/>
          </c:spPr>
          <c:marker>
            <c:symbol val="none"/>
          </c:marker>
          <c:cat>
            <c:strRef>
              <c:f>Hoja1!$B$2:$M$2</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Hoja1!$B$5:$M$5</c:f>
              <c:numCache>
                <c:formatCode>General</c:formatCode>
                <c:ptCount val="12"/>
                <c:pt idx="0">
                  <c:v>6</c:v>
                </c:pt>
                <c:pt idx="1">
                  <c:v>6</c:v>
                </c:pt>
                <c:pt idx="2">
                  <c:v>5</c:v>
                </c:pt>
                <c:pt idx="3">
                  <c:v>6</c:v>
                </c:pt>
                <c:pt idx="4">
                  <c:v>5</c:v>
                </c:pt>
                <c:pt idx="5">
                  <c:v>7</c:v>
                </c:pt>
                <c:pt idx="6">
                  <c:v>8</c:v>
                </c:pt>
                <c:pt idx="7">
                  <c:v>9</c:v>
                </c:pt>
                <c:pt idx="8">
                  <c:v>8</c:v>
                </c:pt>
                <c:pt idx="9">
                  <c:v>7</c:v>
                </c:pt>
                <c:pt idx="10">
                  <c:v>9</c:v>
                </c:pt>
                <c:pt idx="11">
                  <c:v>7</c:v>
                </c:pt>
              </c:numCache>
            </c:numRef>
          </c:val>
          <c:smooth val="0"/>
          <c:extLst>
            <c:ext xmlns:c16="http://schemas.microsoft.com/office/drawing/2014/chart" uri="{C3380CC4-5D6E-409C-BE32-E72D297353CC}">
              <c16:uniqueId val="{00000002-97E7-44FB-B9CD-88C330D54480}"/>
            </c:ext>
          </c:extLst>
        </c:ser>
        <c:dLbls>
          <c:showLegendKey val="0"/>
          <c:showVal val="0"/>
          <c:showCatName val="0"/>
          <c:showSerName val="0"/>
          <c:showPercent val="0"/>
          <c:showBubbleSize val="0"/>
        </c:dLbls>
        <c:smooth val="0"/>
        <c:axId val="919806351"/>
        <c:axId val="919801359"/>
      </c:lineChart>
      <c:catAx>
        <c:axId val="9198063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9801359"/>
        <c:crosses val="autoZero"/>
        <c:auto val="1"/>
        <c:lblAlgn val="ctr"/>
        <c:lblOffset val="100"/>
        <c:noMultiLvlLbl val="0"/>
      </c:catAx>
      <c:valAx>
        <c:axId val="9198013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98063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RSQYA732TE3A-1458804562-5961</_dlc_DocId>
    <_dlc_DocIdUrl xmlns="bead468f-8977-40b9-b74e-c9dec54b70e1">
      <Url>https://eiaedu.sharepoint.com/sites/repositorio/currículo/_layouts/15/DocIdRedir.aspx?ID=RSQYA732TE3A-1458804562-5961</Url>
      <Description>RSQYA732TE3A-1458804562-5961</Description>
    </_dlc_DocIdUrl>
  </documentManagement>
</p:properties>
</file>

<file path=customXml/itemProps1.xml><?xml version="1.0" encoding="utf-8"?>
<ds:datastoreItem xmlns:ds="http://schemas.openxmlformats.org/officeDocument/2006/customXml" ds:itemID="{B01C3735-80C5-4B54-BD49-0CCD55A9615A}"/>
</file>

<file path=customXml/itemProps2.xml><?xml version="1.0" encoding="utf-8"?>
<ds:datastoreItem xmlns:ds="http://schemas.openxmlformats.org/officeDocument/2006/customXml" ds:itemID="{F9AEE8E6-D667-4264-A7AB-2EAFAA2988EF}"/>
</file>

<file path=customXml/itemProps3.xml><?xml version="1.0" encoding="utf-8"?>
<ds:datastoreItem xmlns:ds="http://schemas.openxmlformats.org/officeDocument/2006/customXml" ds:itemID="{85B4384B-D164-4ECF-9325-B981445D8754}"/>
</file>

<file path=customXml/itemProps4.xml><?xml version="1.0" encoding="utf-8"?>
<ds:datastoreItem xmlns:ds="http://schemas.openxmlformats.org/officeDocument/2006/customXml" ds:itemID="{401555D0-74BF-4A7D-9A4A-4D881A027CA0}"/>
</file>

<file path=docProps/app.xml><?xml version="1.0" encoding="utf-8"?>
<Properties xmlns="http://schemas.openxmlformats.org/officeDocument/2006/extended-properties" xmlns:vt="http://schemas.openxmlformats.org/officeDocument/2006/docPropsVTypes">
  <Template>Normal.dotm</Template>
  <TotalTime>1</TotalTime>
  <Pages>5</Pages>
  <Words>625</Words>
  <Characters>3569</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eia</Company>
  <LinksUpToDate>false</LinksUpToDate>
  <CharactersWithSpaces>4186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Ortega Arango</dc:creator>
  <cp:keywords/>
  <dc:description/>
  <cp:lastModifiedBy>Martha Isabel Posada Posada</cp:lastModifiedBy>
  <cp:revision>2</cp:revision>
  <cp:lastPrinted>2014-09-10T16:09:00Z</cp:lastPrinted>
  <dcterms:created xsi:type="dcterms:W3CDTF">2019-05-10T14:05:00Z</dcterms:created>
  <dcterms:modified xsi:type="dcterms:W3CDTF">2019-05-10T14:05:00Z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c58d5758-01ce-47d1-b8a9-e01139091b2e</vt:lpwstr>
  </property>
</Properties>
</file>